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188" w:rsidRPr="00E96657" w:rsidRDefault="00257CB0" w:rsidP="009266C5">
      <w:pPr>
        <w:pStyle w:val="Heading1"/>
        <w:spacing w:before="0" w:after="60"/>
        <w:jc w:val="center"/>
        <w:rPr>
          <w:rFonts w:ascii="Calibri" w:hAnsi="Calibri"/>
          <w:color w:val="auto"/>
          <w:sz w:val="22"/>
          <w:szCs w:val="22"/>
        </w:rPr>
      </w:pPr>
      <w:r w:rsidRPr="00E96657">
        <w:rPr>
          <w:rFonts w:ascii="Calibri" w:hAnsi="Calibri"/>
          <w:color w:val="auto"/>
          <w:szCs w:val="22"/>
        </w:rPr>
        <w:t xml:space="preserve">Cochrane </w:t>
      </w:r>
      <w:r w:rsidR="009273B2" w:rsidRPr="00E96657">
        <w:rPr>
          <w:rFonts w:ascii="Calibri" w:hAnsi="Calibri"/>
          <w:color w:val="auto"/>
          <w:szCs w:val="22"/>
        </w:rPr>
        <w:t>Training</w:t>
      </w:r>
      <w:r w:rsidR="009E58F1" w:rsidRPr="00E96657">
        <w:rPr>
          <w:rFonts w:ascii="Calibri" w:hAnsi="Calibri"/>
          <w:color w:val="auto"/>
          <w:szCs w:val="22"/>
        </w:rPr>
        <w:t>: progress update</w:t>
      </w:r>
    </w:p>
    <w:p w:rsidR="00202188" w:rsidRPr="00E96657" w:rsidRDefault="00202188" w:rsidP="009266C5">
      <w:pPr>
        <w:spacing w:after="60"/>
      </w:pPr>
    </w:p>
    <w:p w:rsidR="0053133F" w:rsidRDefault="00AB474A" w:rsidP="0053133F">
      <w:pPr>
        <w:spacing w:after="0"/>
        <w:jc w:val="center"/>
      </w:pPr>
      <w:r w:rsidRPr="00273215">
        <w:t>P</w:t>
      </w:r>
      <w:r w:rsidR="0008636F" w:rsidRPr="00273215">
        <w:t xml:space="preserve">repared by </w:t>
      </w:r>
      <w:r w:rsidR="009273B2" w:rsidRPr="00273215">
        <w:t>Steve McDonald</w:t>
      </w:r>
      <w:r w:rsidR="00273215" w:rsidRPr="00273215">
        <w:t xml:space="preserve"> (</w:t>
      </w:r>
      <w:r w:rsidR="009273B2" w:rsidRPr="00273215">
        <w:t>TWG</w:t>
      </w:r>
      <w:r w:rsidR="0008636F" w:rsidRPr="00273215">
        <w:t xml:space="preserve"> </w:t>
      </w:r>
      <w:r w:rsidR="003555AB" w:rsidRPr="00273215">
        <w:t>C</w:t>
      </w:r>
      <w:r w:rsidR="009273B2" w:rsidRPr="00273215">
        <w:t>onvenor</w:t>
      </w:r>
      <w:r w:rsidR="0053133F">
        <w:t xml:space="preserve">) </w:t>
      </w:r>
      <w:r w:rsidR="004B3566" w:rsidRPr="00273215">
        <w:t>o</w:t>
      </w:r>
      <w:r w:rsidR="00525800" w:rsidRPr="00273215">
        <w:t xml:space="preserve">n behalf of the </w:t>
      </w:r>
      <w:r w:rsidR="009273B2" w:rsidRPr="00273215">
        <w:t>Training Working Group</w:t>
      </w:r>
    </w:p>
    <w:p w:rsidR="0008636F" w:rsidRPr="00273215" w:rsidRDefault="0053133F" w:rsidP="0053133F">
      <w:pPr>
        <w:spacing w:after="0"/>
        <w:jc w:val="center"/>
      </w:pPr>
      <w:r>
        <w:t>1</w:t>
      </w:r>
      <w:r w:rsidR="00052171">
        <w:t>2</w:t>
      </w:r>
      <w:r>
        <w:t xml:space="preserve"> September 2012</w:t>
      </w:r>
    </w:p>
    <w:p w:rsidR="009E0A55" w:rsidRPr="00E96657" w:rsidRDefault="009E0A55" w:rsidP="00273215">
      <w:pPr>
        <w:pStyle w:val="NoSpacing"/>
        <w:spacing w:line="276" w:lineRule="auto"/>
        <w:rPr>
          <w:b/>
        </w:rPr>
      </w:pPr>
    </w:p>
    <w:p w:rsidR="00202188" w:rsidRPr="00E96657" w:rsidRDefault="00202188" w:rsidP="009266C5">
      <w:pPr>
        <w:pStyle w:val="NoSpacing"/>
        <w:spacing w:line="276" w:lineRule="auto"/>
        <w:rPr>
          <w:b/>
        </w:rPr>
      </w:pPr>
      <w:r w:rsidRPr="00E96657">
        <w:rPr>
          <w:b/>
        </w:rPr>
        <w:t>Purpose</w:t>
      </w:r>
    </w:p>
    <w:p w:rsidR="00202188" w:rsidRPr="00E96657" w:rsidRDefault="00202188" w:rsidP="0066109E">
      <w:pPr>
        <w:pStyle w:val="NoSpacing"/>
        <w:spacing w:line="276" w:lineRule="auto"/>
      </w:pPr>
      <w:r w:rsidRPr="00C14AE6">
        <w:t>T</w:t>
      </w:r>
      <w:r w:rsidR="00280683" w:rsidRPr="00C14AE6">
        <w:t xml:space="preserve">o </w:t>
      </w:r>
      <w:r w:rsidR="009273B2" w:rsidRPr="00C14AE6">
        <w:t>update the Steering Group on the progress towards achieving the project deliverables as outlined in the workplan for the first phase of Cochrane Training</w:t>
      </w:r>
      <w:r w:rsidR="00896C47" w:rsidRPr="00C14AE6">
        <w:t xml:space="preserve">; to </w:t>
      </w:r>
      <w:r w:rsidR="003575D7" w:rsidRPr="00C14AE6">
        <w:t>highlight any major concerns</w:t>
      </w:r>
      <w:r w:rsidR="0066109E" w:rsidRPr="00C14AE6">
        <w:t xml:space="preserve"> and future proposals, including </w:t>
      </w:r>
      <w:r w:rsidR="003575D7" w:rsidRPr="00C14AE6">
        <w:t>resource implications</w:t>
      </w:r>
      <w:r w:rsidR="00FA467B" w:rsidRPr="00C14AE6">
        <w:t>.</w:t>
      </w:r>
    </w:p>
    <w:p w:rsidR="00C7041B" w:rsidRPr="00E96657" w:rsidRDefault="00C7041B" w:rsidP="009266C5">
      <w:pPr>
        <w:pStyle w:val="NoSpacing"/>
        <w:spacing w:line="276" w:lineRule="auto"/>
      </w:pPr>
    </w:p>
    <w:p w:rsidR="00202188" w:rsidRPr="00E96657" w:rsidRDefault="00202188" w:rsidP="009266C5">
      <w:pPr>
        <w:pStyle w:val="NoSpacing"/>
        <w:spacing w:line="276" w:lineRule="auto"/>
        <w:rPr>
          <w:b/>
        </w:rPr>
      </w:pPr>
      <w:r w:rsidRPr="00E96657">
        <w:rPr>
          <w:b/>
        </w:rPr>
        <w:t>Urgency</w:t>
      </w:r>
    </w:p>
    <w:p w:rsidR="00202188" w:rsidRPr="00E96657" w:rsidRDefault="0053133F" w:rsidP="009266C5">
      <w:pPr>
        <w:pStyle w:val="NoSpacing"/>
        <w:spacing w:line="276" w:lineRule="auto"/>
      </w:pPr>
      <w:r>
        <w:t>Low</w:t>
      </w:r>
    </w:p>
    <w:p w:rsidR="009E0A55" w:rsidRPr="00E96657" w:rsidRDefault="009E0A55" w:rsidP="009266C5">
      <w:pPr>
        <w:pStyle w:val="NoSpacing"/>
        <w:spacing w:line="276" w:lineRule="auto"/>
        <w:rPr>
          <w:b/>
        </w:rPr>
      </w:pPr>
    </w:p>
    <w:p w:rsidR="00202188" w:rsidRPr="00E96657" w:rsidRDefault="00202188" w:rsidP="009266C5">
      <w:pPr>
        <w:pStyle w:val="NoSpacing"/>
        <w:spacing w:line="276" w:lineRule="auto"/>
        <w:rPr>
          <w:b/>
        </w:rPr>
      </w:pPr>
      <w:r w:rsidRPr="00E96657">
        <w:rPr>
          <w:b/>
        </w:rPr>
        <w:t>Access</w:t>
      </w:r>
    </w:p>
    <w:p w:rsidR="00202188" w:rsidRPr="00E96657" w:rsidRDefault="00381DDE" w:rsidP="009266C5">
      <w:pPr>
        <w:pStyle w:val="NoSpacing"/>
        <w:spacing w:line="276" w:lineRule="auto"/>
      </w:pPr>
      <w:r w:rsidRPr="00E96657">
        <w:t>Open</w:t>
      </w:r>
    </w:p>
    <w:p w:rsidR="00923BAE" w:rsidRPr="00E96657" w:rsidRDefault="00923BAE" w:rsidP="009266C5">
      <w:pPr>
        <w:pStyle w:val="NoSpacing"/>
        <w:spacing w:line="276" w:lineRule="auto"/>
      </w:pPr>
    </w:p>
    <w:p w:rsidR="00923BAE" w:rsidRPr="00E96657" w:rsidRDefault="00923BAE" w:rsidP="009266C5">
      <w:pPr>
        <w:pStyle w:val="NoSpacing"/>
        <w:spacing w:line="276" w:lineRule="auto"/>
        <w:rPr>
          <w:b/>
        </w:rPr>
      </w:pPr>
      <w:r w:rsidRPr="00E96657">
        <w:rPr>
          <w:b/>
        </w:rPr>
        <w:t>Background</w:t>
      </w:r>
    </w:p>
    <w:p w:rsidR="00164438" w:rsidRDefault="00E96657" w:rsidP="00F47232">
      <w:pPr>
        <w:spacing w:after="240"/>
      </w:pPr>
      <w:r>
        <w:t xml:space="preserve">The work plan </w:t>
      </w:r>
      <w:r w:rsidR="00272BE0">
        <w:t xml:space="preserve">and </w:t>
      </w:r>
      <w:r w:rsidR="00272BE0" w:rsidRPr="00E96657">
        <w:t>funding request</w:t>
      </w:r>
      <w:r w:rsidR="00272BE0">
        <w:t xml:space="preserve"> for the first phase of Cochrane Training (to March 2012) was </w:t>
      </w:r>
      <w:r>
        <w:t xml:space="preserve">approved by the Steering Group </w:t>
      </w:r>
      <w:r w:rsidR="00C14AE6">
        <w:t>in Keystone in October 2010</w:t>
      </w:r>
      <w:r w:rsidR="00272BE0">
        <w:t>. The work plan</w:t>
      </w:r>
      <w:r>
        <w:t xml:space="preserve"> contained </w:t>
      </w:r>
      <w:r w:rsidRPr="00E96657">
        <w:t>projects</w:t>
      </w:r>
      <w:r>
        <w:t xml:space="preserve"> </w:t>
      </w:r>
      <w:r w:rsidR="00272BE0" w:rsidRPr="00E96657">
        <w:t>grouped into four main areas: 1) authoring reviews, 2) editing reviews, 3) managing and supporting reviews, and 4) training co-ordination</w:t>
      </w:r>
      <w:r w:rsidR="00272BE0">
        <w:t xml:space="preserve">. </w:t>
      </w:r>
      <w:r w:rsidR="003C4CCA" w:rsidRPr="00E96657">
        <w:t xml:space="preserve">This paper summarises progress </w:t>
      </w:r>
      <w:r w:rsidR="003C4CCA">
        <w:t xml:space="preserve">in these areas </w:t>
      </w:r>
      <w:r w:rsidR="00440EA7">
        <w:t xml:space="preserve">since Paris </w:t>
      </w:r>
      <w:r w:rsidR="003C4CCA">
        <w:t>and highlights major concerns, current issues and</w:t>
      </w:r>
      <w:r w:rsidR="00440EA7">
        <w:t xml:space="preserve"> any</w:t>
      </w:r>
      <w:r w:rsidR="003C4CCA">
        <w:t xml:space="preserve"> </w:t>
      </w:r>
      <w:r w:rsidR="003C4CCA" w:rsidRPr="00440EA7">
        <w:t>resource implications.</w:t>
      </w:r>
      <w:r w:rsidR="003C4CCA">
        <w:t xml:space="preserve"> </w:t>
      </w:r>
      <w:r w:rsidR="001D5592">
        <w:t xml:space="preserve">We took the decision in the lead-up to the mid-year meeting in Paris not to submit a </w:t>
      </w:r>
      <w:r w:rsidR="00C14AE6">
        <w:t xml:space="preserve">funding </w:t>
      </w:r>
      <w:r w:rsidR="003C4CCA">
        <w:t xml:space="preserve">proposal for the second phase of Cochrane Training, </w:t>
      </w:r>
      <w:r w:rsidR="00C14AE6">
        <w:t>mainly because of</w:t>
      </w:r>
      <w:r w:rsidR="003C4CCA">
        <w:t xml:space="preserve"> delays in completing several projects and uncertainty surrounding some organisational issues. The focus since Paris has been on fulfilling the original commitments</w:t>
      </w:r>
      <w:r w:rsidR="0075685C">
        <w:t>, especially around the core projects aimed at author training,</w:t>
      </w:r>
      <w:r w:rsidR="003C4CCA">
        <w:t xml:space="preserve"> and dealing with practical issues</w:t>
      </w:r>
      <w:r w:rsidR="0075685C">
        <w:t xml:space="preserve"> </w:t>
      </w:r>
      <w:r w:rsidR="00440EA7">
        <w:t>arising from</w:t>
      </w:r>
      <w:r w:rsidR="0075685C">
        <w:t xml:space="preserve"> </w:t>
      </w:r>
      <w:r w:rsidR="00C14AE6">
        <w:t>changes to the Training team</w:t>
      </w:r>
      <w:r w:rsidR="0075685C">
        <w:t xml:space="preserve">. </w:t>
      </w:r>
      <w:r w:rsidR="00005A96">
        <w:rPr>
          <w:bCs/>
        </w:rPr>
        <w:t>The main points we wish to highlight follow below and a more detailed summary can be found in the Appendix.</w:t>
      </w:r>
    </w:p>
    <w:p w:rsidR="005E65E8" w:rsidRDefault="005E65E8" w:rsidP="005E65E8">
      <w:pPr>
        <w:spacing w:after="0"/>
        <w:rPr>
          <w:bCs/>
        </w:rPr>
      </w:pPr>
      <w:r w:rsidRPr="00E96657">
        <w:rPr>
          <w:b/>
        </w:rPr>
        <w:t>Proposals and discussion</w:t>
      </w:r>
    </w:p>
    <w:p w:rsidR="00DB6C09" w:rsidRDefault="00DB6C09" w:rsidP="00E44614">
      <w:pPr>
        <w:pStyle w:val="ListParagraph"/>
        <w:numPr>
          <w:ilvl w:val="0"/>
          <w:numId w:val="31"/>
        </w:numPr>
        <w:spacing w:after="120" w:line="276" w:lineRule="auto"/>
        <w:ind w:left="357" w:hanging="357"/>
      </w:pPr>
      <w:r w:rsidRPr="00CE0433">
        <w:t>Phil</w:t>
      </w:r>
      <w:r w:rsidRPr="00DB6C09">
        <w:rPr>
          <w:b/>
        </w:rPr>
        <w:t xml:space="preserve"> </w:t>
      </w:r>
      <w:r w:rsidRPr="00CE0433">
        <w:t>Wiffen</w:t>
      </w:r>
      <w:r>
        <w:t xml:space="preserve"> stood down as co-convenor o</w:t>
      </w:r>
      <w:r w:rsidR="00554818">
        <w:t xml:space="preserve">f the TWG in July </w:t>
      </w:r>
      <w:r>
        <w:t>following his departure from the UK Cochrane Centre earlier in the year</w:t>
      </w:r>
      <w:r w:rsidR="00554818">
        <w:t xml:space="preserve">. </w:t>
      </w:r>
      <w:r>
        <w:t xml:space="preserve">We wish to acknowledge Phil’s contribution over the last 3-4 years; his experience in </w:t>
      </w:r>
      <w:r w:rsidR="00BF1357">
        <w:t xml:space="preserve">developing and </w:t>
      </w:r>
      <w:r>
        <w:t xml:space="preserve">delivering different types of training, combined with his expertise in authoring and editorial processes, meant he </w:t>
      </w:r>
      <w:r w:rsidR="00554818">
        <w:t>participated</w:t>
      </w:r>
      <w:r>
        <w:t xml:space="preserve"> in </w:t>
      </w:r>
      <w:r w:rsidR="00BF1357">
        <w:t>many</w:t>
      </w:r>
      <w:r>
        <w:t xml:space="preserve"> practical and strategic ways and his </w:t>
      </w:r>
      <w:r w:rsidR="00554818">
        <w:t>contribution</w:t>
      </w:r>
      <w:r>
        <w:t xml:space="preserve"> will be missed.</w:t>
      </w:r>
      <w:r w:rsidR="00BF1357">
        <w:t xml:space="preserve"> </w:t>
      </w:r>
      <w:r w:rsidR="00C14AE6">
        <w:t>We plan to recruit a new co-convenor from among the CoEds or MEs, ideally someone with an education/training background.</w:t>
      </w:r>
    </w:p>
    <w:p w:rsidR="00554818" w:rsidRDefault="00E44614" w:rsidP="00E44614">
      <w:pPr>
        <w:pStyle w:val="ListParagraph"/>
        <w:numPr>
          <w:ilvl w:val="0"/>
          <w:numId w:val="31"/>
        </w:numPr>
        <w:spacing w:after="120" w:line="276" w:lineRule="auto"/>
        <w:ind w:left="357" w:hanging="357"/>
      </w:pPr>
      <w:r>
        <w:t xml:space="preserve">August </w:t>
      </w:r>
      <w:r w:rsidR="00C14AE6">
        <w:t xml:space="preserve">2012 </w:t>
      </w:r>
      <w:r>
        <w:t xml:space="preserve">marked one year since the position of Training Co-ordinator was established, and also when </w:t>
      </w:r>
      <w:r w:rsidRPr="00CE0433">
        <w:t>Miranda</w:t>
      </w:r>
      <w:r w:rsidRPr="00E44614">
        <w:rPr>
          <w:b/>
        </w:rPr>
        <w:t xml:space="preserve"> </w:t>
      </w:r>
      <w:r w:rsidRPr="00CE0433">
        <w:t>Cumpston</w:t>
      </w:r>
      <w:r>
        <w:t xml:space="preserve"> went on maternity leave. Miranda has done an amazing job</w:t>
      </w:r>
      <w:r w:rsidR="00C14AE6">
        <w:t>,</w:t>
      </w:r>
      <w:r>
        <w:t xml:space="preserve"> not only in leading several of the core training activities (e.g. </w:t>
      </w:r>
      <w:r w:rsidR="00C14AE6">
        <w:t xml:space="preserve">standard </w:t>
      </w:r>
      <w:r>
        <w:t>author training materials, webinars, training website</w:t>
      </w:r>
      <w:r w:rsidR="00153E28">
        <w:t xml:space="preserve"> and Trainers’ Network</w:t>
      </w:r>
      <w:r>
        <w:t xml:space="preserve">) but also piecing together the vast patchwork of training-related initiatives, networking with countless execs and working groups, and </w:t>
      </w:r>
      <w:r w:rsidR="00C14AE6">
        <w:t>spending</w:t>
      </w:r>
      <w:r>
        <w:t xml:space="preserve"> evenings on Skype.</w:t>
      </w:r>
      <w:r w:rsidR="00F71E42">
        <w:t xml:space="preserve"> This is all captured in the ‘very large handover document’ that is referred to daily.</w:t>
      </w:r>
    </w:p>
    <w:p w:rsidR="00DB6C09" w:rsidRPr="00E44614" w:rsidRDefault="00554818" w:rsidP="00E44614">
      <w:pPr>
        <w:pStyle w:val="ListParagraph"/>
        <w:numPr>
          <w:ilvl w:val="0"/>
          <w:numId w:val="31"/>
        </w:numPr>
        <w:spacing w:after="120" w:line="276" w:lineRule="auto"/>
        <w:ind w:left="357" w:hanging="357"/>
      </w:pPr>
      <w:r>
        <w:lastRenderedPageBreak/>
        <w:t xml:space="preserve">Following expressions of interest to cover Miranda’s position for 12 months, we appointed </w:t>
      </w:r>
      <w:r w:rsidRPr="00CE0433">
        <w:t>Caroline</w:t>
      </w:r>
      <w:r w:rsidRPr="00BF1357">
        <w:rPr>
          <w:b/>
        </w:rPr>
        <w:t xml:space="preserve"> </w:t>
      </w:r>
      <w:r w:rsidRPr="00CE0433">
        <w:t>Struthers</w:t>
      </w:r>
      <w:r>
        <w:t xml:space="preserve"> and </w:t>
      </w:r>
      <w:r w:rsidRPr="00CE0433">
        <w:t>Marialena</w:t>
      </w:r>
      <w:r w:rsidRPr="00BF1357">
        <w:rPr>
          <w:b/>
        </w:rPr>
        <w:t xml:space="preserve"> </w:t>
      </w:r>
      <w:r w:rsidRPr="00CE0433">
        <w:t>Trivella</w:t>
      </w:r>
      <w:r>
        <w:t xml:space="preserve"> to share the role; both have complementary strengths and skills that will enable the activities already underway to continue, plus </w:t>
      </w:r>
      <w:r w:rsidR="00BF1357">
        <w:t xml:space="preserve">the </w:t>
      </w:r>
      <w:r>
        <w:t xml:space="preserve">planned </w:t>
      </w:r>
      <w:r w:rsidR="00BF1357">
        <w:t xml:space="preserve">priority </w:t>
      </w:r>
      <w:r>
        <w:t>initiatives</w:t>
      </w:r>
      <w:r w:rsidR="00BF1357">
        <w:t xml:space="preserve"> (e.g. editor training) to get going. Marialena and Caroline met with Steve McDonald and David Tovey for a day in Oxford in August, and both Marialena and Caroline are stopping over in </w:t>
      </w:r>
      <w:r w:rsidR="00F71E42">
        <w:t>Melbourne en route to Auckland.</w:t>
      </w:r>
    </w:p>
    <w:p w:rsidR="00ED3134" w:rsidRDefault="00AD3073" w:rsidP="00A80CE0">
      <w:pPr>
        <w:numPr>
          <w:ilvl w:val="0"/>
          <w:numId w:val="31"/>
        </w:numPr>
        <w:spacing w:after="120"/>
        <w:rPr>
          <w:bCs/>
        </w:rPr>
      </w:pPr>
      <w:r>
        <w:rPr>
          <w:bCs/>
        </w:rPr>
        <w:t xml:space="preserve">The team delivering the </w:t>
      </w:r>
      <w:r w:rsidRPr="00CE0433">
        <w:rPr>
          <w:bCs/>
        </w:rPr>
        <w:t>Online Learning Modules</w:t>
      </w:r>
      <w:r>
        <w:rPr>
          <w:bCs/>
        </w:rPr>
        <w:t xml:space="preserve"> </w:t>
      </w:r>
      <w:r w:rsidR="00CE0433">
        <w:rPr>
          <w:bCs/>
        </w:rPr>
        <w:t xml:space="preserve">(OLMs) </w:t>
      </w:r>
      <w:r>
        <w:rPr>
          <w:bCs/>
        </w:rPr>
        <w:t>ha</w:t>
      </w:r>
      <w:r w:rsidR="00DC1713">
        <w:rPr>
          <w:bCs/>
        </w:rPr>
        <w:t>s</w:t>
      </w:r>
      <w:r>
        <w:rPr>
          <w:bCs/>
        </w:rPr>
        <w:t xml:space="preserve"> been </w:t>
      </w:r>
      <w:r w:rsidR="00DC1713">
        <w:rPr>
          <w:bCs/>
        </w:rPr>
        <w:t>working hard t</w:t>
      </w:r>
      <w:r w:rsidR="009B25BD">
        <w:rPr>
          <w:bCs/>
        </w:rPr>
        <w:t xml:space="preserve">o finalise the new suite of </w:t>
      </w:r>
      <w:r w:rsidR="00DC1713">
        <w:rPr>
          <w:bCs/>
        </w:rPr>
        <w:t>modules and update the original ones by the September</w:t>
      </w:r>
      <w:r w:rsidR="00F71E42">
        <w:rPr>
          <w:bCs/>
        </w:rPr>
        <w:t xml:space="preserve"> 2012</w:t>
      </w:r>
      <w:r w:rsidR="00DC1713">
        <w:rPr>
          <w:bCs/>
        </w:rPr>
        <w:t xml:space="preserve"> deadline set earlier in the year. Personnel changes at the UK</w:t>
      </w:r>
      <w:r w:rsidR="00ED3134">
        <w:rPr>
          <w:bCs/>
        </w:rPr>
        <w:t xml:space="preserve"> </w:t>
      </w:r>
      <w:r w:rsidR="00DC1713">
        <w:rPr>
          <w:bCs/>
        </w:rPr>
        <w:t>C</w:t>
      </w:r>
      <w:r w:rsidR="00ED3134">
        <w:rPr>
          <w:bCs/>
        </w:rPr>
        <w:t xml:space="preserve">ochrane </w:t>
      </w:r>
      <w:r w:rsidR="00DC1713">
        <w:rPr>
          <w:bCs/>
        </w:rPr>
        <w:t>C</w:t>
      </w:r>
      <w:r w:rsidR="00ED3134">
        <w:rPr>
          <w:bCs/>
        </w:rPr>
        <w:t>entre</w:t>
      </w:r>
      <w:r w:rsidR="00DC1713">
        <w:rPr>
          <w:bCs/>
        </w:rPr>
        <w:t>, particularly t</w:t>
      </w:r>
      <w:r w:rsidR="00632847">
        <w:rPr>
          <w:bCs/>
        </w:rPr>
        <w:t xml:space="preserve">he departure of Phil Wiffen and </w:t>
      </w:r>
      <w:r w:rsidR="003A3497">
        <w:rPr>
          <w:bCs/>
        </w:rPr>
        <w:t>Amy Drahota, have</w:t>
      </w:r>
      <w:r w:rsidR="00DC1713">
        <w:rPr>
          <w:bCs/>
        </w:rPr>
        <w:t xml:space="preserve"> added to the challenge. Despite starting a new full-time position with the University of Portsmouth</w:t>
      </w:r>
      <w:r w:rsidR="003A3497">
        <w:rPr>
          <w:bCs/>
        </w:rPr>
        <w:t>,</w:t>
      </w:r>
      <w:r w:rsidR="00DC1713">
        <w:rPr>
          <w:bCs/>
        </w:rPr>
        <w:t xml:space="preserve"> Amy has continued her day-to-day involvement with the OLMs</w:t>
      </w:r>
      <w:r w:rsidR="00ED3134">
        <w:rPr>
          <w:bCs/>
        </w:rPr>
        <w:t xml:space="preserve"> and is committed to seeing through the delivery of the modules to the </w:t>
      </w:r>
      <w:r w:rsidR="00632847">
        <w:rPr>
          <w:bCs/>
        </w:rPr>
        <w:t>Collaboration</w:t>
      </w:r>
      <w:r w:rsidR="00ED3134">
        <w:rPr>
          <w:bCs/>
        </w:rPr>
        <w:t xml:space="preserve">. </w:t>
      </w:r>
    </w:p>
    <w:p w:rsidR="00ED3134" w:rsidRDefault="00ED3134" w:rsidP="00ED3134">
      <w:pPr>
        <w:numPr>
          <w:ilvl w:val="0"/>
          <w:numId w:val="31"/>
        </w:numPr>
        <w:spacing w:after="120"/>
        <w:rPr>
          <w:bCs/>
        </w:rPr>
      </w:pPr>
      <w:r>
        <w:rPr>
          <w:bCs/>
        </w:rPr>
        <w:t xml:space="preserve">The UK Cochrane Centre’s involvement with the development of the modules has been winding down and will cease </w:t>
      </w:r>
      <w:r w:rsidR="0023736D">
        <w:rPr>
          <w:bCs/>
        </w:rPr>
        <w:t xml:space="preserve">completely </w:t>
      </w:r>
      <w:r w:rsidR="009B25BD">
        <w:rPr>
          <w:bCs/>
        </w:rPr>
        <w:t>at</w:t>
      </w:r>
      <w:r>
        <w:rPr>
          <w:bCs/>
        </w:rPr>
        <w:t xml:space="preserve"> the end of September. </w:t>
      </w:r>
      <w:r w:rsidR="003A3497">
        <w:rPr>
          <w:bCs/>
        </w:rPr>
        <w:t>T</w:t>
      </w:r>
      <w:r>
        <w:rPr>
          <w:bCs/>
        </w:rPr>
        <w:t xml:space="preserve">he Collaboration </w:t>
      </w:r>
      <w:r w:rsidR="0023736D">
        <w:rPr>
          <w:bCs/>
        </w:rPr>
        <w:t>(through the Cochrane Editorial Unit and Training Working Group)</w:t>
      </w:r>
      <w:r w:rsidR="003A3497">
        <w:rPr>
          <w:bCs/>
        </w:rPr>
        <w:t xml:space="preserve">, in partnership with Portsmouth, </w:t>
      </w:r>
      <w:r>
        <w:rPr>
          <w:bCs/>
        </w:rPr>
        <w:t xml:space="preserve">is now responsible for </w:t>
      </w:r>
      <w:r w:rsidR="0023736D">
        <w:rPr>
          <w:bCs/>
        </w:rPr>
        <w:t xml:space="preserve">completing </w:t>
      </w:r>
      <w:r w:rsidR="009B25BD">
        <w:rPr>
          <w:bCs/>
        </w:rPr>
        <w:t xml:space="preserve">the </w:t>
      </w:r>
      <w:r w:rsidR="0023736D">
        <w:rPr>
          <w:bCs/>
        </w:rPr>
        <w:t xml:space="preserve">OLMs and </w:t>
      </w:r>
      <w:r w:rsidR="003A3497">
        <w:rPr>
          <w:bCs/>
        </w:rPr>
        <w:t>deciding optimal arrangements for their maintenance and enhancement.</w:t>
      </w:r>
      <w:r w:rsidR="00BF1357">
        <w:rPr>
          <w:bCs/>
        </w:rPr>
        <w:t xml:space="preserve"> </w:t>
      </w:r>
      <w:r w:rsidR="00F71E42">
        <w:rPr>
          <w:bCs/>
        </w:rPr>
        <w:t xml:space="preserve">We have a proposal from the Portsmouth team for different levels of updating (from light touch to substantive). </w:t>
      </w:r>
      <w:r w:rsidR="00BF1357">
        <w:rPr>
          <w:bCs/>
        </w:rPr>
        <w:t>The continued involvement of Marialena Trivella through her role as Training Co-ordinator will be important to provide some level of continuity.</w:t>
      </w:r>
    </w:p>
    <w:p w:rsidR="00226884" w:rsidRPr="00B977D7" w:rsidRDefault="0055659D" w:rsidP="004878E7">
      <w:pPr>
        <w:numPr>
          <w:ilvl w:val="0"/>
          <w:numId w:val="31"/>
        </w:numPr>
        <w:spacing w:after="120"/>
        <w:ind w:left="357" w:hanging="357"/>
        <w:rPr>
          <w:bCs/>
        </w:rPr>
      </w:pPr>
      <w:r>
        <w:rPr>
          <w:bCs/>
        </w:rPr>
        <w:t xml:space="preserve">Over the last six months, </w:t>
      </w:r>
      <w:r w:rsidR="008C0801">
        <w:rPr>
          <w:bCs/>
        </w:rPr>
        <w:t xml:space="preserve">the </w:t>
      </w:r>
      <w:r w:rsidR="005809FB" w:rsidRPr="00CE0433">
        <w:rPr>
          <w:bCs/>
        </w:rPr>
        <w:t>standard author training materials</w:t>
      </w:r>
      <w:r w:rsidR="008C0801" w:rsidRPr="00D0565D">
        <w:rPr>
          <w:b/>
          <w:bCs/>
        </w:rPr>
        <w:t xml:space="preserve"> </w:t>
      </w:r>
      <w:r>
        <w:rPr>
          <w:bCs/>
        </w:rPr>
        <w:t>have been</w:t>
      </w:r>
      <w:r w:rsidR="008C0801" w:rsidRPr="008C0801">
        <w:rPr>
          <w:bCs/>
          <w:lang w:val="en-AU"/>
        </w:rPr>
        <w:t xml:space="preserve"> updated to comply with </w:t>
      </w:r>
      <w:r w:rsidR="008C0801">
        <w:rPr>
          <w:bCs/>
          <w:lang w:val="en-AU"/>
        </w:rPr>
        <w:t xml:space="preserve">the </w:t>
      </w:r>
      <w:r w:rsidR="008C0801" w:rsidRPr="008C0801">
        <w:rPr>
          <w:bCs/>
          <w:lang w:val="en-AU"/>
        </w:rPr>
        <w:t>MECIR</w:t>
      </w:r>
      <w:r w:rsidR="008C0801">
        <w:rPr>
          <w:bCs/>
          <w:lang w:val="en-AU"/>
        </w:rPr>
        <w:t xml:space="preserve"> </w:t>
      </w:r>
      <w:r w:rsidR="00005C7F">
        <w:rPr>
          <w:bCs/>
          <w:lang w:val="en-AU"/>
        </w:rPr>
        <w:t xml:space="preserve">Conduct </w:t>
      </w:r>
      <w:r w:rsidR="008C0801">
        <w:rPr>
          <w:bCs/>
          <w:lang w:val="en-AU"/>
        </w:rPr>
        <w:t>standards</w:t>
      </w:r>
      <w:r>
        <w:rPr>
          <w:bCs/>
          <w:lang w:val="en-AU"/>
        </w:rPr>
        <w:t>.</w:t>
      </w:r>
      <w:r w:rsidR="008C0801">
        <w:rPr>
          <w:bCs/>
          <w:lang w:val="en-AU"/>
        </w:rPr>
        <w:t xml:space="preserve"> </w:t>
      </w:r>
      <w:r w:rsidR="00DA5C9D">
        <w:rPr>
          <w:bCs/>
          <w:lang w:val="en-AU"/>
        </w:rPr>
        <w:t>The Iberoamerican Cochrane Centre is currently organising translation of all the standard materials into Spanish. New resources to complement the slides, such as exercises and quizzes,</w:t>
      </w:r>
      <w:r w:rsidR="00DD0711">
        <w:rPr>
          <w:bCs/>
          <w:lang w:val="en-AU"/>
        </w:rPr>
        <w:t xml:space="preserve"> have been developed by the </w:t>
      </w:r>
      <w:r w:rsidR="00DA5C9D">
        <w:rPr>
          <w:bCs/>
          <w:lang w:val="en-AU"/>
        </w:rPr>
        <w:t>Australasian Cochrane Centre and piloted in workshops since April. Audio and video recordings of small group work and some presentations are being edited ready for posting to the Training website.</w:t>
      </w:r>
    </w:p>
    <w:p w:rsidR="005D6958" w:rsidRPr="00EF7D22" w:rsidRDefault="00EF7D22" w:rsidP="00A80CE0">
      <w:pPr>
        <w:numPr>
          <w:ilvl w:val="0"/>
          <w:numId w:val="31"/>
        </w:numPr>
        <w:spacing w:after="120"/>
        <w:rPr>
          <w:bCs/>
        </w:rPr>
      </w:pPr>
      <w:r>
        <w:rPr>
          <w:bCs/>
          <w:lang w:val="en-AU"/>
        </w:rPr>
        <w:t xml:space="preserve">Training Co-ordinator and Web Team have put a lot of thought and effort into consolidating </w:t>
      </w:r>
      <w:r w:rsidR="004878E7">
        <w:rPr>
          <w:bCs/>
          <w:lang w:val="en-AU"/>
        </w:rPr>
        <w:t xml:space="preserve">how </w:t>
      </w:r>
      <w:r>
        <w:rPr>
          <w:bCs/>
          <w:lang w:val="en-AU"/>
        </w:rPr>
        <w:t>training info</w:t>
      </w:r>
      <w:r w:rsidR="004878E7">
        <w:rPr>
          <w:bCs/>
          <w:lang w:val="en-AU"/>
        </w:rPr>
        <w:t xml:space="preserve">rmation and resources are provided </w:t>
      </w:r>
      <w:r>
        <w:rPr>
          <w:bCs/>
          <w:lang w:val="en-AU"/>
        </w:rPr>
        <w:t xml:space="preserve">on cochrane.org. </w:t>
      </w:r>
      <w:r w:rsidR="004878E7">
        <w:rPr>
          <w:bCs/>
          <w:lang w:val="en-AU"/>
        </w:rPr>
        <w:t>As well as the training website and the development of</w:t>
      </w:r>
      <w:r>
        <w:rPr>
          <w:bCs/>
          <w:lang w:val="en-AU"/>
        </w:rPr>
        <w:t xml:space="preserve"> portals for various entities</w:t>
      </w:r>
      <w:r w:rsidR="004878E7">
        <w:rPr>
          <w:bCs/>
          <w:lang w:val="en-AU"/>
        </w:rPr>
        <w:t xml:space="preserve">, events information is being streamlined, getting involved pathways developed, and a taxonomy implemented that will help with user searching and allow the creation of </w:t>
      </w:r>
      <w:r w:rsidR="00830B3E">
        <w:rPr>
          <w:bCs/>
          <w:lang w:val="en-AU"/>
        </w:rPr>
        <w:t xml:space="preserve">‘dynamic’ </w:t>
      </w:r>
      <w:r w:rsidR="004878E7">
        <w:rPr>
          <w:bCs/>
          <w:lang w:val="en-AU"/>
        </w:rPr>
        <w:t>pages.</w:t>
      </w:r>
    </w:p>
    <w:p w:rsidR="009A45B3" w:rsidRPr="009A45B3" w:rsidRDefault="00CE0433" w:rsidP="009A45B3">
      <w:pPr>
        <w:numPr>
          <w:ilvl w:val="0"/>
          <w:numId w:val="31"/>
        </w:numPr>
        <w:spacing w:after="120"/>
      </w:pPr>
      <w:r>
        <w:t>As highlighted in the paper for Paris, ed</w:t>
      </w:r>
      <w:r w:rsidR="003E653D">
        <w:t xml:space="preserve">iting and addressing the needs of editors remains a critical gap in the training and support that is currently offered. We have started to map out a plan to create specific resources for editors and have consulted with a range of editors to get feedback and suggestions. </w:t>
      </w:r>
      <w:r>
        <w:t xml:space="preserve">This is an area that will require working collaboratively with the Methods Groups, </w:t>
      </w:r>
      <w:r w:rsidRPr="00CE0433">
        <w:rPr>
          <w:lang w:val="en-US"/>
        </w:rPr>
        <w:t>MECIR project team</w:t>
      </w:r>
      <w:r>
        <w:rPr>
          <w:lang w:val="en-US"/>
        </w:rPr>
        <w:t xml:space="preserve"> and</w:t>
      </w:r>
      <w:r>
        <w:t xml:space="preserve"> ME Support Manager</w:t>
      </w:r>
      <w:r w:rsidR="003E653D">
        <w:t>.</w:t>
      </w:r>
    </w:p>
    <w:p w:rsidR="00F47232" w:rsidRPr="00F47232" w:rsidRDefault="00F47232" w:rsidP="00F47232">
      <w:pPr>
        <w:pStyle w:val="ListParagraph"/>
        <w:numPr>
          <w:ilvl w:val="0"/>
          <w:numId w:val="31"/>
        </w:numPr>
        <w:spacing w:line="276" w:lineRule="auto"/>
        <w:rPr>
          <w:bCs/>
        </w:rPr>
      </w:pPr>
      <w:r w:rsidRPr="00F47232">
        <w:rPr>
          <w:bCs/>
        </w:rPr>
        <w:t xml:space="preserve">Meetings of the </w:t>
      </w:r>
      <w:r>
        <w:rPr>
          <w:bCs/>
        </w:rPr>
        <w:t xml:space="preserve">TWG </w:t>
      </w:r>
      <w:r>
        <w:t xml:space="preserve">convenors, Training Co-ordinator and Editor in Chief take place monthly and are useful for sharing what’s happening at a broader level in relation to learning and development, and the practical impact on training issues and achieving key deliverables. We are also in the process of integrating some of the training projects into the CEU’s Cochrane Content work plan. </w:t>
      </w:r>
      <w:r>
        <w:rPr>
          <w:bCs/>
        </w:rPr>
        <w:t>Over the next six months we plan to work through</w:t>
      </w:r>
      <w:r>
        <w:t xml:space="preserve"> the more strategic issues to do with training and how these relate to other aspects of the learning and development strategy. </w:t>
      </w:r>
    </w:p>
    <w:p w:rsidR="00830B3E" w:rsidRDefault="00830B3E" w:rsidP="00273215">
      <w:pPr>
        <w:pStyle w:val="NoSpacing"/>
        <w:spacing w:line="276" w:lineRule="auto"/>
        <w:rPr>
          <w:b/>
        </w:rPr>
      </w:pPr>
    </w:p>
    <w:p w:rsidR="00273215" w:rsidRPr="00E96657" w:rsidRDefault="00273215" w:rsidP="00273215">
      <w:pPr>
        <w:pStyle w:val="NoSpacing"/>
        <w:spacing w:line="276" w:lineRule="auto"/>
        <w:rPr>
          <w:b/>
        </w:rPr>
      </w:pPr>
      <w:r w:rsidRPr="00E96657">
        <w:rPr>
          <w:b/>
        </w:rPr>
        <w:lastRenderedPageBreak/>
        <w:t>Resource implications</w:t>
      </w:r>
    </w:p>
    <w:p w:rsidR="00953308" w:rsidRDefault="00DD0711" w:rsidP="00273215">
      <w:pPr>
        <w:pStyle w:val="NoSpacing"/>
        <w:spacing w:after="240" w:line="276" w:lineRule="auto"/>
      </w:pPr>
      <w:r>
        <w:t xml:space="preserve">There are no </w:t>
      </w:r>
      <w:r w:rsidR="00953308">
        <w:t xml:space="preserve">new </w:t>
      </w:r>
      <w:r>
        <w:t xml:space="preserve">resource implications arising from this paper. </w:t>
      </w:r>
    </w:p>
    <w:p w:rsidR="00273215" w:rsidRPr="00E96657" w:rsidRDefault="00273215" w:rsidP="00273215">
      <w:pPr>
        <w:pStyle w:val="NoSpacing"/>
        <w:spacing w:after="240" w:line="276" w:lineRule="auto"/>
      </w:pPr>
      <w:r w:rsidRPr="00E96657">
        <w:t xml:space="preserve">The budget for Cochrane Training for April 2012 </w:t>
      </w:r>
      <w:r w:rsidR="00153E28">
        <w:t xml:space="preserve">to March 2013 </w:t>
      </w:r>
      <w:r w:rsidR="00DD0711">
        <w:t>(</w:t>
      </w:r>
      <w:r w:rsidR="00DD0711" w:rsidRPr="00E96657">
        <w:t>£91</w:t>
      </w:r>
      <w:r w:rsidR="00DD0711">
        <w:t xml:space="preserve">,000) </w:t>
      </w:r>
      <w:r w:rsidR="00153E28">
        <w:t>was approved in Paris</w:t>
      </w:r>
      <w:r w:rsidR="00DD0711">
        <w:t xml:space="preserve"> and covers</w:t>
      </w:r>
      <w:r w:rsidR="00153E28">
        <w:t xml:space="preserve"> the</w:t>
      </w:r>
      <w:r w:rsidR="00DD0711">
        <w:t xml:space="preserve"> salaries of the Training Co-ordinators, maintenance of the OLMs, Methods Groups’ annual training event and annual workshop for DTA reviews. Reimbursements for two of the projects funded in the first phase of Cochrane Training (the induction programmes for TSCs and Fields) will be completed before the end of the year</w:t>
      </w:r>
      <w:r w:rsidR="00953308">
        <w:t xml:space="preserve">. </w:t>
      </w:r>
    </w:p>
    <w:p w:rsidR="00273215" w:rsidRPr="00E96657" w:rsidRDefault="00953308" w:rsidP="003E653D">
      <w:pPr>
        <w:pStyle w:val="NoSpacing"/>
        <w:spacing w:line="276" w:lineRule="auto"/>
      </w:pPr>
      <w:r>
        <w:t xml:space="preserve">For the mid-year meeting in Oxford we anticipate submitting a new funding proposal </w:t>
      </w:r>
      <w:r w:rsidR="00C14AE6">
        <w:t xml:space="preserve">as part of a longer term strategy </w:t>
      </w:r>
      <w:r>
        <w:t>that will include the ongoing commitments (Training Co-ordinator, Methods event, etc.) plus new projects that address identified training and support needs.</w:t>
      </w:r>
    </w:p>
    <w:p w:rsidR="00273215" w:rsidRPr="00E96657" w:rsidRDefault="00273215" w:rsidP="002A0FDE">
      <w:pPr>
        <w:pStyle w:val="NoSpacing"/>
        <w:spacing w:line="276" w:lineRule="auto"/>
      </w:pPr>
    </w:p>
    <w:p w:rsidR="00273215" w:rsidRPr="00E96657" w:rsidRDefault="00273215" w:rsidP="002A0FDE">
      <w:pPr>
        <w:pStyle w:val="NoSpacing"/>
        <w:spacing w:line="276" w:lineRule="auto"/>
        <w:rPr>
          <w:b/>
        </w:rPr>
      </w:pPr>
      <w:r w:rsidRPr="00E96657">
        <w:rPr>
          <w:b/>
        </w:rPr>
        <w:t>Impact statement</w:t>
      </w:r>
    </w:p>
    <w:p w:rsidR="003E653D" w:rsidRDefault="003E653D" w:rsidP="002A0FDE">
      <w:pPr>
        <w:pStyle w:val="NoSpacing"/>
        <w:spacing w:line="276" w:lineRule="auto"/>
      </w:pPr>
      <w:r>
        <w:t xml:space="preserve">Investment in </w:t>
      </w:r>
      <w:r w:rsidR="001C4700">
        <w:t xml:space="preserve">training, in particular </w:t>
      </w:r>
      <w:r>
        <w:t>the position of Cochrane Training Co-ordinator</w:t>
      </w:r>
      <w:r w:rsidR="001C4700">
        <w:t>,</w:t>
      </w:r>
      <w:r>
        <w:t xml:space="preserve"> will continue to bring major benefits to the Collaboration, both</w:t>
      </w:r>
      <w:r w:rsidR="001C4700">
        <w:t xml:space="preserve"> in terms of the quality of training materials produced and the efficiencies that come from having a single person </w:t>
      </w:r>
      <w:r w:rsidR="00830B3E">
        <w:t xml:space="preserve">(or persons) </w:t>
      </w:r>
      <w:r w:rsidR="001C4700">
        <w:t>dealing with similar training and support issues across groups within the Collaboration. There is major potential to build and then capitalise on the Collaboration’s profile in this area</w:t>
      </w:r>
      <w:r w:rsidR="00D57976">
        <w:t xml:space="preserve">, linking </w:t>
      </w:r>
      <w:r w:rsidR="001C4700">
        <w:t xml:space="preserve">with the CEU and Cochrane Innovations. </w:t>
      </w:r>
    </w:p>
    <w:p w:rsidR="001C4700" w:rsidRPr="00E96657" w:rsidRDefault="001C4700" w:rsidP="002A0FDE">
      <w:pPr>
        <w:pStyle w:val="NoSpacing"/>
        <w:spacing w:line="276" w:lineRule="auto"/>
      </w:pPr>
    </w:p>
    <w:p w:rsidR="00273215" w:rsidRPr="00E96657" w:rsidRDefault="00273215" w:rsidP="002A0FDE">
      <w:pPr>
        <w:pStyle w:val="NoSpacing"/>
        <w:spacing w:line="276" w:lineRule="auto"/>
        <w:rPr>
          <w:b/>
        </w:rPr>
      </w:pPr>
      <w:r w:rsidRPr="00E96657">
        <w:rPr>
          <w:b/>
        </w:rPr>
        <w:t>Decision required</w:t>
      </w:r>
    </w:p>
    <w:p w:rsidR="002A0FDE" w:rsidRDefault="00953308" w:rsidP="001C4700">
      <w:pPr>
        <w:spacing w:after="0"/>
      </w:pPr>
      <w:r>
        <w:t>None, but feedback welcome on any of the issues highlighted above.</w:t>
      </w:r>
    </w:p>
    <w:p w:rsidR="001C4700" w:rsidRDefault="001C4700" w:rsidP="001C4700">
      <w:pPr>
        <w:spacing w:after="0"/>
      </w:pPr>
    </w:p>
    <w:p w:rsidR="002A0FDE" w:rsidRPr="002A0FDE" w:rsidRDefault="002A0FDE" w:rsidP="002A0FDE">
      <w:pPr>
        <w:rPr>
          <w:b/>
          <w:sz w:val="20"/>
        </w:rPr>
      </w:pPr>
      <w:r w:rsidRPr="002A0FDE">
        <w:rPr>
          <w:b/>
          <w:sz w:val="20"/>
        </w:rPr>
        <w:t>Membership of the Training Working Group (</w:t>
      </w:r>
      <w:r w:rsidR="00164438">
        <w:rPr>
          <w:b/>
          <w:sz w:val="20"/>
        </w:rPr>
        <w:t>September</w:t>
      </w:r>
      <w:r w:rsidRPr="002A0FDE">
        <w:rPr>
          <w:b/>
          <w:sz w:val="20"/>
        </w:rPr>
        <w:t xml:space="preserve"> 2012)</w:t>
      </w:r>
    </w:p>
    <w:tbl>
      <w:tblPr>
        <w:tblW w:w="0" w:type="auto"/>
        <w:tblInd w:w="108" w:type="dxa"/>
        <w:tblBorders>
          <w:top w:val="single" w:sz="8" w:space="0" w:color="4BACC6"/>
          <w:left w:val="single" w:sz="8" w:space="0" w:color="4BACC6"/>
          <w:bottom w:val="single" w:sz="8" w:space="0" w:color="4BACC6"/>
          <w:right w:val="single" w:sz="8" w:space="0" w:color="4BACC6"/>
        </w:tblBorders>
        <w:tblLook w:val="0480"/>
      </w:tblPr>
      <w:tblGrid>
        <w:gridCol w:w="5387"/>
        <w:gridCol w:w="3747"/>
      </w:tblGrid>
      <w:tr w:rsidR="002A0FDE"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2A0FDE" w:rsidRPr="00F12FB2" w:rsidRDefault="002D731D" w:rsidP="00B44DBF">
            <w:pPr>
              <w:spacing w:after="0"/>
              <w:rPr>
                <w:bCs/>
                <w:sz w:val="20"/>
              </w:rPr>
            </w:pPr>
            <w:r>
              <w:rPr>
                <w:bCs/>
                <w:sz w:val="20"/>
              </w:rPr>
              <w:t>C</w:t>
            </w:r>
            <w:r w:rsidR="002A0FDE" w:rsidRPr="00F12FB2">
              <w:rPr>
                <w:bCs/>
                <w:sz w:val="20"/>
              </w:rPr>
              <w:t>onvenor</w:t>
            </w:r>
          </w:p>
        </w:tc>
        <w:tc>
          <w:tcPr>
            <w:tcW w:w="3747" w:type="dxa"/>
            <w:tcBorders>
              <w:top w:val="single" w:sz="8" w:space="0" w:color="4BACC6"/>
              <w:bottom w:val="single" w:sz="8" w:space="0" w:color="4BACC6"/>
              <w:right w:val="single" w:sz="8" w:space="0" w:color="4BACC6"/>
            </w:tcBorders>
            <w:vAlign w:val="center"/>
          </w:tcPr>
          <w:p w:rsidR="002A0FDE" w:rsidRPr="00F12FB2" w:rsidRDefault="002A0FDE" w:rsidP="00B44DBF">
            <w:pPr>
              <w:spacing w:after="0"/>
              <w:rPr>
                <w:sz w:val="20"/>
              </w:rPr>
            </w:pPr>
            <w:r w:rsidRPr="00F12FB2">
              <w:rPr>
                <w:sz w:val="20"/>
              </w:rPr>
              <w:t>Steve McDonald</w:t>
            </w:r>
          </w:p>
        </w:tc>
      </w:tr>
      <w:tr w:rsidR="002A0FDE"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2A0FDE" w:rsidRPr="00F12FB2" w:rsidRDefault="002A0FDE" w:rsidP="00B44DBF">
            <w:pPr>
              <w:spacing w:after="0"/>
              <w:rPr>
                <w:bCs/>
                <w:sz w:val="20"/>
              </w:rPr>
            </w:pPr>
            <w:r w:rsidRPr="00F12FB2">
              <w:rPr>
                <w:bCs/>
                <w:sz w:val="20"/>
              </w:rPr>
              <w:t>Training Co-ordinator</w:t>
            </w:r>
            <w:r w:rsidR="00164438">
              <w:rPr>
                <w:bCs/>
                <w:sz w:val="20"/>
              </w:rPr>
              <w:t>s</w:t>
            </w:r>
          </w:p>
        </w:tc>
        <w:tc>
          <w:tcPr>
            <w:tcW w:w="3747" w:type="dxa"/>
            <w:tcBorders>
              <w:top w:val="single" w:sz="8" w:space="0" w:color="4BACC6"/>
              <w:bottom w:val="single" w:sz="8" w:space="0" w:color="4BACC6"/>
              <w:right w:val="single" w:sz="8" w:space="0" w:color="4BACC6"/>
            </w:tcBorders>
            <w:vAlign w:val="center"/>
          </w:tcPr>
          <w:p w:rsidR="002A0FDE" w:rsidRPr="00F12FB2" w:rsidRDefault="00164438" w:rsidP="00B44DBF">
            <w:pPr>
              <w:spacing w:after="0"/>
              <w:rPr>
                <w:sz w:val="20"/>
              </w:rPr>
            </w:pPr>
            <w:r>
              <w:rPr>
                <w:sz w:val="20"/>
              </w:rPr>
              <w:t>Caroline Struthers and Marialena Trivella</w:t>
            </w:r>
          </w:p>
        </w:tc>
      </w:tr>
      <w:tr w:rsidR="0053133F"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53133F" w:rsidRPr="00F12FB2" w:rsidRDefault="0053133F" w:rsidP="00B44DBF">
            <w:pPr>
              <w:spacing w:after="0"/>
              <w:rPr>
                <w:bCs/>
                <w:sz w:val="20"/>
              </w:rPr>
            </w:pPr>
          </w:p>
        </w:tc>
        <w:tc>
          <w:tcPr>
            <w:tcW w:w="3747" w:type="dxa"/>
            <w:tcBorders>
              <w:top w:val="single" w:sz="8" w:space="0" w:color="4BACC6"/>
              <w:bottom w:val="single" w:sz="8" w:space="0" w:color="4BACC6"/>
              <w:right w:val="single" w:sz="8" w:space="0" w:color="4BACC6"/>
            </w:tcBorders>
            <w:vAlign w:val="center"/>
          </w:tcPr>
          <w:p w:rsidR="0053133F" w:rsidRPr="00F12FB2" w:rsidRDefault="00164438" w:rsidP="00B44DBF">
            <w:pPr>
              <w:spacing w:after="0"/>
              <w:rPr>
                <w:sz w:val="20"/>
              </w:rPr>
            </w:pPr>
            <w:r w:rsidRPr="00F12FB2">
              <w:rPr>
                <w:sz w:val="20"/>
              </w:rPr>
              <w:t>Miranda Cumpston</w:t>
            </w:r>
            <w:r>
              <w:rPr>
                <w:sz w:val="20"/>
              </w:rPr>
              <w:t xml:space="preserve"> </w:t>
            </w:r>
            <w:r w:rsidRPr="0053133F">
              <w:rPr>
                <w:sz w:val="20"/>
              </w:rPr>
              <w:t>(</w:t>
            </w:r>
            <w:r>
              <w:rPr>
                <w:sz w:val="20"/>
              </w:rPr>
              <w:t xml:space="preserve">on </w:t>
            </w:r>
            <w:r w:rsidRPr="0053133F">
              <w:rPr>
                <w:sz w:val="20"/>
              </w:rPr>
              <w:t>maternity leave)</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Managing Editors’ Executive</w:t>
            </w:r>
            <w:r w:rsidRPr="00F12FB2">
              <w:rPr>
                <w:bCs/>
                <w:sz w:val="20"/>
              </w:rPr>
              <w:tab/>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Sally Bell-Syer</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Co-ordinating Editors’ Executive and MARS Working Group</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Rachel Churchill</w:t>
            </w:r>
          </w:p>
        </w:tc>
      </w:tr>
      <w:tr w:rsidR="00164438" w:rsidRPr="00F12FB2" w:rsidTr="00494D56">
        <w:trPr>
          <w:trHeight w:val="227"/>
        </w:trPr>
        <w:tc>
          <w:tcPr>
            <w:tcW w:w="5387" w:type="dxa"/>
            <w:vAlign w:val="center"/>
          </w:tcPr>
          <w:p w:rsidR="00164438" w:rsidRPr="00F12FB2" w:rsidRDefault="00164438" w:rsidP="00B44DBF">
            <w:pPr>
              <w:spacing w:after="0"/>
              <w:rPr>
                <w:bCs/>
                <w:sz w:val="20"/>
              </w:rPr>
            </w:pPr>
            <w:r w:rsidRPr="00F12FB2">
              <w:rPr>
                <w:bCs/>
                <w:sz w:val="20"/>
              </w:rPr>
              <w:t>CCSG Author representative</w:t>
            </w:r>
          </w:p>
        </w:tc>
        <w:tc>
          <w:tcPr>
            <w:tcW w:w="3747" w:type="dxa"/>
            <w:vAlign w:val="center"/>
          </w:tcPr>
          <w:p w:rsidR="00164438" w:rsidRPr="00F12FB2" w:rsidRDefault="00164438" w:rsidP="00B44DBF">
            <w:pPr>
              <w:spacing w:after="0"/>
              <w:rPr>
                <w:sz w:val="20"/>
              </w:rPr>
            </w:pPr>
            <w:r w:rsidRPr="00F12FB2">
              <w:rPr>
                <w:sz w:val="20"/>
              </w:rPr>
              <w:t>Donna Gillies and Mona Nasser</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Cochrane Handbook, MARS Working Group and Methods Exec</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Julian Higgins</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Methods Co-ordinator</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Jackie Chandler</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Fields’ Executive</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Susan Wieland</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TSCs’ Executive</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Lynn Hampson</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Consumer Co-ordinator</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Catherine McIlwain</w:t>
            </w:r>
          </w:p>
        </w:tc>
      </w:tr>
      <w:tr w:rsidR="00164438" w:rsidRPr="00F12FB2" w:rsidTr="00494D56">
        <w:trPr>
          <w:trHeight w:val="227"/>
        </w:trPr>
        <w:tc>
          <w:tcPr>
            <w:tcW w:w="5387" w:type="dxa"/>
            <w:vAlign w:val="center"/>
          </w:tcPr>
          <w:p w:rsidR="00164438" w:rsidRPr="00F12FB2" w:rsidRDefault="00164438" w:rsidP="00B44DBF">
            <w:pPr>
              <w:spacing w:after="0"/>
              <w:rPr>
                <w:bCs/>
                <w:sz w:val="20"/>
              </w:rPr>
            </w:pPr>
            <w:r w:rsidRPr="00F12FB2">
              <w:rPr>
                <w:bCs/>
                <w:sz w:val="20"/>
              </w:rPr>
              <w:t>Cochrane IMS</w:t>
            </w:r>
          </w:p>
        </w:tc>
        <w:tc>
          <w:tcPr>
            <w:tcW w:w="3747" w:type="dxa"/>
            <w:vAlign w:val="center"/>
          </w:tcPr>
          <w:p w:rsidR="00164438" w:rsidRPr="00F12FB2" w:rsidRDefault="00164438" w:rsidP="00B44DBF">
            <w:pPr>
              <w:spacing w:after="0"/>
              <w:rPr>
                <w:sz w:val="20"/>
              </w:rPr>
            </w:pPr>
            <w:r w:rsidRPr="00F12FB2">
              <w:rPr>
                <w:sz w:val="20"/>
              </w:rPr>
              <w:t>Olga Ahtirschi</w:t>
            </w:r>
            <w:r>
              <w:rPr>
                <w:sz w:val="20"/>
              </w:rPr>
              <w:t xml:space="preserve"> </w:t>
            </w:r>
            <w:r w:rsidRPr="0053133F">
              <w:rPr>
                <w:sz w:val="20"/>
              </w:rPr>
              <w:t>(</w:t>
            </w:r>
            <w:r>
              <w:rPr>
                <w:sz w:val="20"/>
              </w:rPr>
              <w:t xml:space="preserve">on </w:t>
            </w:r>
            <w:r w:rsidRPr="0053133F">
              <w:rPr>
                <w:sz w:val="20"/>
              </w:rPr>
              <w:t>maternity leave)</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Representing authors from LMICs</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Malinee Laopaiboon</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Cochrane Web Team</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Chris Mavergames</w:t>
            </w:r>
          </w:p>
        </w:tc>
      </w:tr>
      <w:tr w:rsidR="00164438" w:rsidRPr="00F12FB2" w:rsidTr="00494D56">
        <w:trPr>
          <w:trHeight w:val="227"/>
        </w:trPr>
        <w:tc>
          <w:tcPr>
            <w:tcW w:w="5387" w:type="dxa"/>
            <w:vAlign w:val="center"/>
          </w:tcPr>
          <w:p w:rsidR="00164438" w:rsidRPr="00F12FB2" w:rsidRDefault="00164438" w:rsidP="00B44DBF">
            <w:pPr>
              <w:spacing w:after="0"/>
              <w:rPr>
                <w:bCs/>
                <w:sz w:val="20"/>
              </w:rPr>
            </w:pPr>
            <w:r w:rsidRPr="00F12FB2">
              <w:rPr>
                <w:bCs/>
                <w:sz w:val="20"/>
              </w:rPr>
              <w:t>Copy Edit Support</w:t>
            </w:r>
          </w:p>
        </w:tc>
        <w:tc>
          <w:tcPr>
            <w:tcW w:w="3747" w:type="dxa"/>
            <w:vAlign w:val="center"/>
          </w:tcPr>
          <w:p w:rsidR="00164438" w:rsidRPr="00F12FB2" w:rsidRDefault="00164438" w:rsidP="00B44DBF">
            <w:pPr>
              <w:spacing w:after="0"/>
              <w:rPr>
                <w:sz w:val="20"/>
              </w:rPr>
            </w:pPr>
            <w:r w:rsidRPr="00F12FB2">
              <w:rPr>
                <w:sz w:val="20"/>
              </w:rPr>
              <w:t>Nancy Owens</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 xml:space="preserve">Representing LOTE authors </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Marta Roqué</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Cochrane Editorial Unit</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Rachel Marshall</w:t>
            </w:r>
            <w:r>
              <w:rPr>
                <w:sz w:val="20"/>
              </w:rPr>
              <w:t xml:space="preserve"> </w:t>
            </w:r>
            <w:r w:rsidRPr="0053133F">
              <w:rPr>
                <w:sz w:val="20"/>
              </w:rPr>
              <w:t>(</w:t>
            </w:r>
            <w:r>
              <w:rPr>
                <w:sz w:val="20"/>
              </w:rPr>
              <w:t xml:space="preserve">on </w:t>
            </w:r>
            <w:r w:rsidRPr="0053133F">
              <w:rPr>
                <w:sz w:val="20"/>
              </w:rPr>
              <w:t>maternity leave)</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Editor representative</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Andrea Nelson</w:t>
            </w:r>
          </w:p>
        </w:tc>
      </w:tr>
      <w:tr w:rsidR="00164438" w:rsidRPr="00F12FB2" w:rsidTr="00494D56">
        <w:trPr>
          <w:trHeight w:val="227"/>
        </w:trPr>
        <w:tc>
          <w:tcPr>
            <w:tcW w:w="5387" w:type="dxa"/>
            <w:tcBorders>
              <w:top w:val="single" w:sz="8" w:space="0" w:color="4BACC6"/>
              <w:left w:val="single" w:sz="8" w:space="0" w:color="4BACC6"/>
              <w:bottom w:val="single" w:sz="8" w:space="0" w:color="4BACC6"/>
            </w:tcBorders>
            <w:vAlign w:val="center"/>
          </w:tcPr>
          <w:p w:rsidR="00164438" w:rsidRPr="00F12FB2" w:rsidRDefault="00164438" w:rsidP="00B44DBF">
            <w:pPr>
              <w:spacing w:after="0"/>
              <w:rPr>
                <w:bCs/>
                <w:sz w:val="20"/>
              </w:rPr>
            </w:pPr>
            <w:r w:rsidRPr="00F12FB2">
              <w:rPr>
                <w:bCs/>
                <w:sz w:val="20"/>
              </w:rPr>
              <w:t>DTA Working Group</w:t>
            </w:r>
          </w:p>
        </w:tc>
        <w:tc>
          <w:tcPr>
            <w:tcW w:w="3747" w:type="dxa"/>
            <w:tcBorders>
              <w:top w:val="single" w:sz="8" w:space="0" w:color="4BACC6"/>
              <w:bottom w:val="single" w:sz="8" w:space="0" w:color="4BACC6"/>
              <w:right w:val="single" w:sz="8" w:space="0" w:color="4BACC6"/>
            </w:tcBorders>
            <w:vAlign w:val="center"/>
          </w:tcPr>
          <w:p w:rsidR="00164438" w:rsidRPr="00F12FB2" w:rsidRDefault="00164438" w:rsidP="00B44DBF">
            <w:pPr>
              <w:spacing w:after="0"/>
              <w:rPr>
                <w:sz w:val="20"/>
              </w:rPr>
            </w:pPr>
            <w:r w:rsidRPr="00F12FB2">
              <w:rPr>
                <w:sz w:val="20"/>
              </w:rPr>
              <w:t>Rob Scholten</w:t>
            </w:r>
          </w:p>
        </w:tc>
      </w:tr>
    </w:tbl>
    <w:p w:rsidR="002D731D" w:rsidRDefault="002D731D" w:rsidP="002D731D">
      <w:pPr>
        <w:spacing w:after="120"/>
        <w:rPr>
          <w:sz w:val="20"/>
        </w:rPr>
      </w:pPr>
    </w:p>
    <w:p w:rsidR="00953308" w:rsidRDefault="00953308" w:rsidP="002D731D">
      <w:pPr>
        <w:spacing w:after="120"/>
        <w:rPr>
          <w:sz w:val="20"/>
        </w:rPr>
      </w:pPr>
    </w:p>
    <w:p w:rsidR="00375D4A" w:rsidRPr="00273215" w:rsidRDefault="00273215" w:rsidP="002A0FDE">
      <w:pPr>
        <w:pBdr>
          <w:bottom w:val="single" w:sz="4" w:space="1" w:color="auto"/>
        </w:pBdr>
        <w:spacing w:after="120"/>
      </w:pPr>
      <w:r w:rsidRPr="00273215">
        <w:rPr>
          <w:b/>
        </w:rPr>
        <w:lastRenderedPageBreak/>
        <w:t xml:space="preserve">APPENDIX </w:t>
      </w:r>
      <w:r w:rsidR="0080483D" w:rsidRPr="00273215">
        <w:rPr>
          <w:b/>
        </w:rPr>
        <w:t>Cochrane Training Phase 1: progress summary</w:t>
      </w:r>
      <w:r w:rsidR="00830B3E">
        <w:rPr>
          <w:b/>
        </w:rPr>
        <w:t xml:space="preserve"> since April 2012</w:t>
      </w:r>
    </w:p>
    <w:p w:rsidR="00273215" w:rsidRDefault="00273215" w:rsidP="00C13AC3">
      <w:pPr>
        <w:spacing w:after="120"/>
        <w:rPr>
          <w:b/>
        </w:rPr>
      </w:pPr>
    </w:p>
    <w:p w:rsidR="006374C6" w:rsidRPr="00E96657" w:rsidRDefault="00C13AC3" w:rsidP="00C13AC3">
      <w:pPr>
        <w:spacing w:after="120"/>
        <w:rPr>
          <w:b/>
        </w:rPr>
      </w:pPr>
      <w:r w:rsidRPr="00E96657">
        <w:rPr>
          <w:b/>
        </w:rPr>
        <w:t>AUTHORING REVIEWS</w:t>
      </w:r>
    </w:p>
    <w:p w:rsidR="00065791" w:rsidRPr="00E96657" w:rsidRDefault="00FD54D4" w:rsidP="00F93FC3">
      <w:pPr>
        <w:numPr>
          <w:ilvl w:val="0"/>
          <w:numId w:val="21"/>
        </w:numPr>
        <w:spacing w:after="0"/>
        <w:ind w:left="357" w:hanging="357"/>
        <w:rPr>
          <w:b/>
        </w:rPr>
      </w:pPr>
      <w:r w:rsidRPr="00E96657">
        <w:rPr>
          <w:rFonts w:eastAsia="Times New Roman"/>
          <w:b/>
          <w:color w:val="000000"/>
          <w:lang w:eastAsia="en-GB"/>
        </w:rPr>
        <w:t>Online Learning Modules</w:t>
      </w:r>
      <w:r w:rsidR="0029233E" w:rsidRPr="00E96657">
        <w:rPr>
          <w:rFonts w:eastAsia="Times New Roman"/>
          <w:b/>
          <w:color w:val="000000"/>
          <w:lang w:eastAsia="en-GB"/>
        </w:rPr>
        <w:t xml:space="preserve"> (OLMs)</w:t>
      </w:r>
    </w:p>
    <w:p w:rsidR="00EE05A3" w:rsidRPr="00EE05A3" w:rsidRDefault="00A6527C" w:rsidP="00A6527C">
      <w:pPr>
        <w:numPr>
          <w:ilvl w:val="0"/>
          <w:numId w:val="24"/>
        </w:numPr>
        <w:spacing w:after="0"/>
        <w:ind w:left="714" w:hanging="357"/>
      </w:pPr>
      <w:r>
        <w:rPr>
          <w:bCs/>
        </w:rPr>
        <w:t>f</w:t>
      </w:r>
      <w:r w:rsidRPr="00A6527C">
        <w:rPr>
          <w:bCs/>
        </w:rPr>
        <w:t>ive of the six new modules and three of the six original modules have either been signed off or should be completed by the Colloquium</w:t>
      </w:r>
      <w:r w:rsidR="00EE05A3">
        <w:rPr>
          <w:bCs/>
        </w:rPr>
        <w:t xml:space="preserve"> (see table below)</w:t>
      </w:r>
      <w:r w:rsidR="00661746">
        <w:rPr>
          <w:bCs/>
        </w:rPr>
        <w:t>; t</w:t>
      </w:r>
      <w:r w:rsidRPr="00A6527C">
        <w:rPr>
          <w:bCs/>
        </w:rPr>
        <w:t>hese will be made available as soon as possible after the Colloquium via the Cochrane Training website with the assistance of the Web Team</w:t>
      </w:r>
      <w:r w:rsidR="00661746">
        <w:rPr>
          <w:bCs/>
        </w:rPr>
        <w:t>; a</w:t>
      </w:r>
      <w:r w:rsidRPr="00A6527C">
        <w:rPr>
          <w:bCs/>
        </w:rPr>
        <w:t xml:space="preserve"> further three modul</w:t>
      </w:r>
      <w:r w:rsidR="00661746">
        <w:rPr>
          <w:bCs/>
        </w:rPr>
        <w:t>es will be delivered in October</w:t>
      </w:r>
      <w:r w:rsidRPr="00A6527C">
        <w:rPr>
          <w:bCs/>
        </w:rPr>
        <w:t xml:space="preserve"> </w:t>
      </w:r>
    </w:p>
    <w:p w:rsidR="00A6527C" w:rsidRDefault="00EE05A3" w:rsidP="00A6527C">
      <w:pPr>
        <w:numPr>
          <w:ilvl w:val="0"/>
          <w:numId w:val="24"/>
        </w:numPr>
        <w:spacing w:after="0"/>
        <w:ind w:left="714" w:hanging="357"/>
      </w:pPr>
      <w:r>
        <w:rPr>
          <w:bCs/>
        </w:rPr>
        <w:t>t</w:t>
      </w:r>
      <w:r w:rsidR="00A6527C" w:rsidRPr="00A6527C">
        <w:rPr>
          <w:bCs/>
        </w:rPr>
        <w:t>he original module on searching for studies is no longer in the current work plan to be updated</w:t>
      </w:r>
      <w:r>
        <w:rPr>
          <w:bCs/>
        </w:rPr>
        <w:t xml:space="preserve"> because</w:t>
      </w:r>
      <w:r w:rsidR="00A6527C" w:rsidRPr="00A6527C">
        <w:rPr>
          <w:bCs/>
        </w:rPr>
        <w:t xml:space="preserve"> </w:t>
      </w:r>
      <w:r w:rsidR="00164438">
        <w:rPr>
          <w:bCs/>
        </w:rPr>
        <w:t>of</w:t>
      </w:r>
      <w:r>
        <w:rPr>
          <w:bCs/>
        </w:rPr>
        <w:t xml:space="preserve"> limited time; however it </w:t>
      </w:r>
      <w:r w:rsidR="00661746">
        <w:rPr>
          <w:bCs/>
        </w:rPr>
        <w:t>will continue to be available</w:t>
      </w:r>
      <w:r w:rsidR="00164438">
        <w:rPr>
          <w:bCs/>
        </w:rPr>
        <w:t xml:space="preserve"> in its original form</w:t>
      </w:r>
    </w:p>
    <w:p w:rsidR="00EE05A3" w:rsidRDefault="00065791" w:rsidP="006B65D1">
      <w:pPr>
        <w:numPr>
          <w:ilvl w:val="0"/>
          <w:numId w:val="24"/>
        </w:numPr>
        <w:spacing w:after="0"/>
        <w:ind w:left="714" w:hanging="357"/>
      </w:pPr>
      <w:r w:rsidRPr="00E96657">
        <w:t xml:space="preserve">relevant Methods Groups have been involved in content development and have </w:t>
      </w:r>
      <w:r w:rsidR="00EE05A3">
        <w:t>reviewed the storyboards and</w:t>
      </w:r>
      <w:r w:rsidRPr="00E96657">
        <w:t xml:space="preserve"> final draft</w:t>
      </w:r>
      <w:r w:rsidR="005E6E1E" w:rsidRPr="00E96657">
        <w:t xml:space="preserve">s; </w:t>
      </w:r>
      <w:r w:rsidR="00EE05A3">
        <w:t xml:space="preserve">the </w:t>
      </w:r>
      <w:r w:rsidR="00EE05A3" w:rsidRPr="00E96657">
        <w:t>Training Working Group</w:t>
      </w:r>
      <w:r w:rsidR="00EE05A3">
        <w:t xml:space="preserve"> and CEU will </w:t>
      </w:r>
      <w:r w:rsidR="00AE26BB">
        <w:t>provide the assurance that the materials have been developed in ac</w:t>
      </w:r>
      <w:r w:rsidR="00661746">
        <w:t>cordance with current guidance</w:t>
      </w:r>
      <w:r w:rsidR="00AE26BB">
        <w:t xml:space="preserve"> </w:t>
      </w:r>
    </w:p>
    <w:p w:rsidR="0029233E" w:rsidRPr="00661746" w:rsidRDefault="00AE26BB" w:rsidP="00661746">
      <w:pPr>
        <w:numPr>
          <w:ilvl w:val="0"/>
          <w:numId w:val="23"/>
        </w:numPr>
        <w:spacing w:after="0"/>
        <w:ind w:left="714" w:hanging="357"/>
        <w:rPr>
          <w:lang w:val="en-US"/>
        </w:rPr>
      </w:pPr>
      <w:r>
        <w:rPr>
          <w:lang w:val="en-US"/>
        </w:rPr>
        <w:t>the Web Team’s request in Paris to provide s</w:t>
      </w:r>
      <w:r w:rsidRPr="00AE26BB">
        <w:rPr>
          <w:bCs/>
          <w:lang w:val="en-US"/>
        </w:rPr>
        <w:t xml:space="preserve">upport for </w:t>
      </w:r>
      <w:r>
        <w:rPr>
          <w:bCs/>
          <w:lang w:val="en-US"/>
        </w:rPr>
        <w:t xml:space="preserve">the Cochrane </w:t>
      </w:r>
      <w:r w:rsidRPr="00AE26BB">
        <w:rPr>
          <w:bCs/>
          <w:lang w:val="en-US"/>
        </w:rPr>
        <w:t xml:space="preserve">Training </w:t>
      </w:r>
      <w:r>
        <w:rPr>
          <w:bCs/>
          <w:lang w:val="en-US"/>
        </w:rPr>
        <w:t>site</w:t>
      </w:r>
      <w:r w:rsidR="00661746">
        <w:rPr>
          <w:bCs/>
          <w:lang w:val="en-US"/>
        </w:rPr>
        <w:t xml:space="preserve"> was accepted; this included hosting the modules in Moodle and integrating with Drupal; we are mindful that additional development of Moodle software is not part of the Web Team’s currently funded responsibilities </w:t>
      </w:r>
    </w:p>
    <w:p w:rsidR="00C729D3" w:rsidRPr="00E96657" w:rsidRDefault="00C729D3" w:rsidP="006B65D1">
      <w:pPr>
        <w:numPr>
          <w:ilvl w:val="0"/>
          <w:numId w:val="23"/>
        </w:numPr>
        <w:spacing w:after="0"/>
        <w:ind w:left="714" w:hanging="357"/>
      </w:pPr>
      <w:r w:rsidRPr="00E96657">
        <w:t xml:space="preserve">Project Board </w:t>
      </w:r>
      <w:r w:rsidR="00661746">
        <w:t>(involving representatives from Portsmouth and Cochrane</w:t>
      </w:r>
      <w:r w:rsidR="00164438">
        <w:t xml:space="preserve"> Collaboration</w:t>
      </w:r>
      <w:r w:rsidR="00661746">
        <w:t>) me</w:t>
      </w:r>
      <w:r w:rsidR="00164438">
        <w:t>e</w:t>
      </w:r>
      <w:r w:rsidR="00661746">
        <w:t>t</w:t>
      </w:r>
      <w:r w:rsidR="00164438">
        <w:t>s</w:t>
      </w:r>
      <w:r w:rsidR="00661746">
        <w:t xml:space="preserve"> </w:t>
      </w:r>
      <w:r w:rsidR="00164438">
        <w:t>regularly</w:t>
      </w:r>
      <w:r w:rsidR="00A632B8">
        <w:t xml:space="preserve">; </w:t>
      </w:r>
      <w:r w:rsidR="00661746">
        <w:t xml:space="preserve">David Tovey </w:t>
      </w:r>
      <w:r w:rsidR="00A632B8">
        <w:t>is the</w:t>
      </w:r>
      <w:r w:rsidR="00661746">
        <w:t xml:space="preserve"> Collaboration</w:t>
      </w:r>
      <w:r w:rsidR="00A632B8">
        <w:t>’s representative</w:t>
      </w:r>
    </w:p>
    <w:p w:rsidR="006B65D1" w:rsidRPr="00E96657" w:rsidRDefault="0029233E" w:rsidP="006B65D1">
      <w:pPr>
        <w:numPr>
          <w:ilvl w:val="0"/>
          <w:numId w:val="23"/>
        </w:numPr>
        <w:spacing w:after="0"/>
        <w:ind w:left="714" w:hanging="357"/>
      </w:pPr>
      <w:r w:rsidRPr="00E96657">
        <w:t xml:space="preserve">following </w:t>
      </w:r>
      <w:r w:rsidR="00601EF4" w:rsidRPr="00E96657">
        <w:t xml:space="preserve">the </w:t>
      </w:r>
      <w:r w:rsidRPr="00E96657">
        <w:t>completion and up</w:t>
      </w:r>
      <w:r w:rsidR="00164438">
        <w:t>loading</w:t>
      </w:r>
      <w:r w:rsidRPr="00E96657">
        <w:t xml:space="preserve"> of </w:t>
      </w:r>
      <w:r w:rsidR="00064C34" w:rsidRPr="00E96657">
        <w:t>all modules</w:t>
      </w:r>
      <w:r w:rsidR="006B65D1" w:rsidRPr="00E96657">
        <w:t xml:space="preserve">, we plan to </w:t>
      </w:r>
      <w:r w:rsidR="00C729D3" w:rsidRPr="00E96657">
        <w:t>look at</w:t>
      </w:r>
      <w:r w:rsidR="006B65D1" w:rsidRPr="00E96657">
        <w:t>:</w:t>
      </w:r>
    </w:p>
    <w:p w:rsidR="00A632B8" w:rsidRDefault="00A632B8" w:rsidP="00C13AC3">
      <w:pPr>
        <w:numPr>
          <w:ilvl w:val="1"/>
          <w:numId w:val="27"/>
        </w:numPr>
        <w:spacing w:after="0"/>
      </w:pPr>
      <w:r>
        <w:t>evaluation</w:t>
      </w:r>
    </w:p>
    <w:p w:rsidR="006B65D1" w:rsidRPr="00E96657" w:rsidRDefault="00C311C4" w:rsidP="00C13AC3">
      <w:pPr>
        <w:numPr>
          <w:ilvl w:val="1"/>
          <w:numId w:val="27"/>
        </w:numPr>
        <w:spacing w:after="0"/>
      </w:pPr>
      <w:r w:rsidRPr="00E96657">
        <w:t>potential marketing opportunities</w:t>
      </w:r>
      <w:r w:rsidR="00064C34" w:rsidRPr="00E96657">
        <w:t xml:space="preserve"> </w:t>
      </w:r>
      <w:r w:rsidR="006B65D1" w:rsidRPr="00E96657">
        <w:t>(in discussion with the University of Portsmouth)</w:t>
      </w:r>
    </w:p>
    <w:p w:rsidR="006B65D1" w:rsidRPr="00E96657" w:rsidRDefault="006B65D1" w:rsidP="00C13AC3">
      <w:pPr>
        <w:numPr>
          <w:ilvl w:val="1"/>
          <w:numId w:val="27"/>
        </w:numPr>
        <w:spacing w:after="0"/>
      </w:pPr>
      <w:r w:rsidRPr="00E96657">
        <w:t>possibility of creating an accredited course</w:t>
      </w:r>
    </w:p>
    <w:p w:rsidR="005E6E1E" w:rsidRPr="00E96657" w:rsidRDefault="006B65D1" w:rsidP="00C13AC3">
      <w:pPr>
        <w:numPr>
          <w:ilvl w:val="1"/>
          <w:numId w:val="27"/>
        </w:numPr>
        <w:spacing w:after="0"/>
      </w:pPr>
      <w:r w:rsidRPr="00E96657">
        <w:t>compilation of more detailed statistics on access and usage</w:t>
      </w:r>
      <w:r w:rsidRPr="00E96657">
        <w:br/>
      </w:r>
    </w:p>
    <w:tbl>
      <w:tblPr>
        <w:tblW w:w="0" w:type="auto"/>
        <w:tblInd w:w="817" w:type="dxa"/>
        <w:tblBorders>
          <w:top w:val="single" w:sz="8" w:space="0" w:color="4F81BD"/>
          <w:left w:val="single" w:sz="8" w:space="0" w:color="4F81BD"/>
          <w:bottom w:val="single" w:sz="8" w:space="0" w:color="4F81BD"/>
          <w:right w:val="single" w:sz="8" w:space="0" w:color="4F81BD"/>
        </w:tblBorders>
        <w:tblLook w:val="04A0"/>
      </w:tblPr>
      <w:tblGrid>
        <w:gridCol w:w="4111"/>
        <w:gridCol w:w="2001"/>
        <w:gridCol w:w="2001"/>
      </w:tblGrid>
      <w:tr w:rsidR="00705A68" w:rsidRPr="00E96657" w:rsidTr="00EE05A3">
        <w:tc>
          <w:tcPr>
            <w:tcW w:w="4111" w:type="dxa"/>
            <w:shd w:val="clear" w:color="auto" w:fill="4F81BD"/>
            <w:vAlign w:val="center"/>
          </w:tcPr>
          <w:p w:rsidR="00705A68" w:rsidRPr="00E96657" w:rsidRDefault="00705A68" w:rsidP="002D731D">
            <w:pPr>
              <w:spacing w:after="0"/>
              <w:rPr>
                <w:rFonts w:eastAsia="Times New Roman" w:cs="Tahoma"/>
                <w:b/>
                <w:bCs/>
                <w:color w:val="FFFFFF"/>
                <w:lang w:eastAsia="en-GB"/>
              </w:rPr>
            </w:pPr>
            <w:r w:rsidRPr="00E96657">
              <w:rPr>
                <w:rFonts w:eastAsia="Times New Roman" w:cs="Tahoma"/>
                <w:b/>
                <w:color w:val="FFFFFF"/>
                <w:lang w:eastAsia="en-GB"/>
              </w:rPr>
              <w:t>Module</w:t>
            </w:r>
            <w:r w:rsidR="002D731D">
              <w:rPr>
                <w:rFonts w:eastAsia="Times New Roman" w:cs="Tahoma"/>
                <w:b/>
                <w:color w:val="FFFFFF"/>
                <w:lang w:eastAsia="en-GB"/>
              </w:rPr>
              <w:t xml:space="preserve"> (N = new; O = original)</w:t>
            </w:r>
          </w:p>
        </w:tc>
        <w:tc>
          <w:tcPr>
            <w:tcW w:w="2001" w:type="dxa"/>
            <w:shd w:val="clear" w:color="auto" w:fill="4F81BD"/>
            <w:vAlign w:val="center"/>
          </w:tcPr>
          <w:p w:rsidR="00705A68" w:rsidRPr="00E96657" w:rsidRDefault="00705A68" w:rsidP="002D731D">
            <w:pPr>
              <w:spacing w:after="0"/>
              <w:jc w:val="center"/>
              <w:rPr>
                <w:rFonts w:eastAsia="Times New Roman" w:cs="Tahoma"/>
                <w:b/>
                <w:bCs/>
                <w:color w:val="FFFFFF"/>
                <w:lang w:eastAsia="en-GB"/>
              </w:rPr>
            </w:pPr>
            <w:r w:rsidRPr="00E96657">
              <w:rPr>
                <w:rFonts w:eastAsia="Times New Roman" w:cs="Tahoma"/>
                <w:b/>
                <w:bCs/>
                <w:color w:val="FFFFFF"/>
                <w:lang w:eastAsia="en-GB"/>
              </w:rPr>
              <w:t>Piloting</w:t>
            </w:r>
            <w:r w:rsidR="006B65D1" w:rsidRPr="00E96657">
              <w:rPr>
                <w:rFonts w:eastAsia="Times New Roman" w:cs="Tahoma"/>
                <w:b/>
                <w:bCs/>
                <w:color w:val="FFFFFF"/>
                <w:lang w:eastAsia="en-GB"/>
              </w:rPr>
              <w:t xml:space="preserve"> </w:t>
            </w:r>
          </w:p>
        </w:tc>
        <w:tc>
          <w:tcPr>
            <w:tcW w:w="2001" w:type="dxa"/>
            <w:shd w:val="clear" w:color="auto" w:fill="4F81BD"/>
            <w:vAlign w:val="center"/>
          </w:tcPr>
          <w:p w:rsidR="00705A68" w:rsidRPr="00E96657" w:rsidRDefault="002D731D" w:rsidP="00A6527C">
            <w:pPr>
              <w:spacing w:after="0"/>
              <w:jc w:val="center"/>
              <w:rPr>
                <w:rFonts w:eastAsia="Times New Roman" w:cs="Tahoma"/>
                <w:b/>
                <w:bCs/>
                <w:color w:val="FFFFFF"/>
                <w:lang w:eastAsia="en-GB"/>
              </w:rPr>
            </w:pPr>
            <w:r>
              <w:rPr>
                <w:rFonts w:eastAsia="Times New Roman" w:cs="Tahoma"/>
                <w:b/>
                <w:bCs/>
                <w:color w:val="FFFFFF"/>
                <w:lang w:eastAsia="en-GB"/>
              </w:rPr>
              <w:t>S</w:t>
            </w:r>
            <w:r w:rsidR="00705A68" w:rsidRPr="00E96657">
              <w:rPr>
                <w:rFonts w:eastAsia="Times New Roman" w:cs="Tahoma"/>
                <w:b/>
                <w:bCs/>
                <w:color w:val="FFFFFF"/>
                <w:lang w:eastAsia="en-GB"/>
              </w:rPr>
              <w:t>ign-off</w:t>
            </w:r>
          </w:p>
        </w:tc>
      </w:tr>
      <w:tr w:rsidR="00705A68" w:rsidRPr="00E96657" w:rsidTr="00EE05A3">
        <w:tc>
          <w:tcPr>
            <w:tcW w:w="4111" w:type="dxa"/>
            <w:tcBorders>
              <w:top w:val="single" w:sz="8" w:space="0" w:color="4F81BD"/>
              <w:left w:val="single" w:sz="8" w:space="0" w:color="4F81BD"/>
              <w:bottom w:val="single" w:sz="8" w:space="0" w:color="4F81BD"/>
            </w:tcBorders>
            <w:vAlign w:val="center"/>
          </w:tcPr>
          <w:p w:rsidR="00705A68" w:rsidRPr="002D731D" w:rsidRDefault="00705A68" w:rsidP="002D731D">
            <w:pPr>
              <w:spacing w:after="0"/>
              <w:rPr>
                <w:rFonts w:eastAsia="Times New Roman" w:cs="Tahoma"/>
                <w:bCs/>
                <w:lang w:eastAsia="en-GB"/>
              </w:rPr>
            </w:pPr>
            <w:r w:rsidRPr="002D731D">
              <w:rPr>
                <w:rFonts w:eastAsia="Times New Roman" w:cs="Tahoma"/>
                <w:bCs/>
                <w:lang w:eastAsia="en-GB"/>
              </w:rPr>
              <w:t xml:space="preserve">Risk of </w:t>
            </w:r>
            <w:r w:rsidR="00065791" w:rsidRPr="002D731D">
              <w:rPr>
                <w:rFonts w:eastAsia="Times New Roman" w:cs="Tahoma"/>
                <w:bCs/>
                <w:lang w:eastAsia="en-GB"/>
              </w:rPr>
              <w:t>bias</w:t>
            </w:r>
            <w:r w:rsidR="00EE05A3" w:rsidRPr="002D731D">
              <w:rPr>
                <w:rFonts w:eastAsia="Times New Roman" w:cs="Tahoma"/>
                <w:bCs/>
                <w:lang w:eastAsia="en-GB"/>
              </w:rPr>
              <w:t xml:space="preserve"> (</w:t>
            </w:r>
            <w:r w:rsidR="002D731D">
              <w:rPr>
                <w:rFonts w:eastAsia="Times New Roman" w:cs="Tahoma"/>
                <w:bCs/>
                <w:lang w:eastAsia="en-GB"/>
              </w:rPr>
              <w:t>N</w:t>
            </w:r>
            <w:r w:rsidR="00EE05A3" w:rsidRPr="002D731D">
              <w:rPr>
                <w:rFonts w:eastAsia="Times New Roman" w:cs="Tahoma"/>
                <w:bCs/>
                <w:lang w:eastAsia="en-GB"/>
              </w:rPr>
              <w:t>)</w:t>
            </w:r>
          </w:p>
        </w:tc>
        <w:tc>
          <w:tcPr>
            <w:tcW w:w="2001" w:type="dxa"/>
            <w:tcBorders>
              <w:top w:val="single" w:sz="8" w:space="0" w:color="4F81BD"/>
              <w:bottom w:val="single" w:sz="8" w:space="0" w:color="4F81BD"/>
            </w:tcBorders>
            <w:vAlign w:val="center"/>
          </w:tcPr>
          <w:p w:rsidR="00705A68" w:rsidRPr="00E96657" w:rsidRDefault="00A6527C" w:rsidP="00A6527C">
            <w:pPr>
              <w:spacing w:after="0"/>
              <w:jc w:val="center"/>
              <w:rPr>
                <w:rFonts w:eastAsia="Times New Roman" w:cs="Tahoma"/>
                <w:b/>
                <w:bCs/>
                <w:lang w:eastAsia="en-GB"/>
              </w:rPr>
            </w:pPr>
            <w:r w:rsidRPr="00F62FF8">
              <w:rPr>
                <w:rFonts w:ascii="Zapf Dingbats" w:hAnsi="Zapf Dingbats"/>
                <w:color w:val="000000"/>
              </w:rPr>
              <w:t>✓</w:t>
            </w:r>
          </w:p>
        </w:tc>
        <w:tc>
          <w:tcPr>
            <w:tcW w:w="2001" w:type="dxa"/>
            <w:tcBorders>
              <w:top w:val="single" w:sz="8" w:space="0" w:color="4F81BD"/>
              <w:bottom w:val="single" w:sz="8" w:space="0" w:color="4F81BD"/>
              <w:right w:val="single" w:sz="8" w:space="0" w:color="4F81BD"/>
            </w:tcBorders>
            <w:vAlign w:val="center"/>
          </w:tcPr>
          <w:p w:rsidR="00705A68" w:rsidRPr="00E96657" w:rsidRDefault="0053133F" w:rsidP="00A6527C">
            <w:pPr>
              <w:spacing w:after="0"/>
              <w:jc w:val="center"/>
              <w:rPr>
                <w:rFonts w:eastAsia="Times New Roman" w:cs="Tahoma"/>
                <w:b/>
                <w:bCs/>
                <w:lang w:eastAsia="en-GB"/>
              </w:rPr>
            </w:pPr>
            <w:r w:rsidRPr="00F62FF8">
              <w:rPr>
                <w:rFonts w:ascii="Zapf Dingbats" w:hAnsi="Zapf Dingbats"/>
                <w:color w:val="000000"/>
              </w:rPr>
              <w:t>✓</w:t>
            </w:r>
          </w:p>
        </w:tc>
      </w:tr>
      <w:tr w:rsidR="00705A68" w:rsidRPr="00E96657" w:rsidTr="00EE05A3">
        <w:tc>
          <w:tcPr>
            <w:tcW w:w="4111" w:type="dxa"/>
            <w:vAlign w:val="center"/>
          </w:tcPr>
          <w:p w:rsidR="00705A68" w:rsidRPr="002D731D" w:rsidRDefault="00705A68" w:rsidP="00257B5D">
            <w:pPr>
              <w:spacing w:after="0"/>
              <w:rPr>
                <w:rFonts w:eastAsia="Times New Roman" w:cs="Tahoma"/>
                <w:bCs/>
                <w:lang w:eastAsia="en-GB"/>
              </w:rPr>
            </w:pPr>
            <w:r w:rsidRPr="002D731D">
              <w:rPr>
                <w:rFonts w:eastAsia="Times New Roman" w:cs="Tahoma"/>
                <w:bCs/>
                <w:lang w:eastAsia="en-GB"/>
              </w:rPr>
              <w:t>Abstracts &amp; PLS</w:t>
            </w:r>
            <w:r w:rsidR="00EE05A3" w:rsidRPr="002D731D">
              <w:rPr>
                <w:rFonts w:eastAsia="Times New Roman" w:cs="Tahoma"/>
                <w:bCs/>
                <w:lang w:eastAsia="en-GB"/>
              </w:rPr>
              <w:t xml:space="preserve"> (</w:t>
            </w:r>
            <w:r w:rsidR="002D731D">
              <w:rPr>
                <w:rFonts w:eastAsia="Times New Roman" w:cs="Tahoma"/>
                <w:bCs/>
                <w:lang w:eastAsia="en-GB"/>
              </w:rPr>
              <w:t>N</w:t>
            </w:r>
            <w:r w:rsidR="00EE05A3" w:rsidRPr="002D731D">
              <w:rPr>
                <w:rFonts w:eastAsia="Times New Roman" w:cs="Tahoma"/>
                <w:bCs/>
                <w:lang w:eastAsia="en-GB"/>
              </w:rPr>
              <w:t>)</w:t>
            </w:r>
          </w:p>
        </w:tc>
        <w:tc>
          <w:tcPr>
            <w:tcW w:w="2001" w:type="dxa"/>
            <w:vAlign w:val="center"/>
          </w:tcPr>
          <w:p w:rsidR="00705A68" w:rsidRPr="00E96657" w:rsidRDefault="00A6527C" w:rsidP="00A6527C">
            <w:pPr>
              <w:spacing w:after="0"/>
              <w:jc w:val="center"/>
              <w:rPr>
                <w:rFonts w:eastAsia="Times New Roman" w:cs="Tahoma"/>
                <w:b/>
                <w:bCs/>
                <w:lang w:eastAsia="en-GB"/>
              </w:rPr>
            </w:pPr>
            <w:r w:rsidRPr="00F62FF8">
              <w:rPr>
                <w:rFonts w:ascii="Zapf Dingbats" w:hAnsi="Zapf Dingbats"/>
                <w:color w:val="000000"/>
              </w:rPr>
              <w:t>✓</w:t>
            </w:r>
          </w:p>
        </w:tc>
        <w:tc>
          <w:tcPr>
            <w:tcW w:w="2001" w:type="dxa"/>
            <w:vAlign w:val="center"/>
          </w:tcPr>
          <w:p w:rsidR="00705A68" w:rsidRPr="00E96657" w:rsidRDefault="00A6527C" w:rsidP="00A6527C">
            <w:pPr>
              <w:spacing w:after="0"/>
              <w:jc w:val="center"/>
              <w:rPr>
                <w:rFonts w:eastAsia="Times New Roman" w:cs="Tahoma"/>
                <w:b/>
                <w:bCs/>
                <w:lang w:eastAsia="en-GB"/>
              </w:rPr>
            </w:pPr>
            <w:r>
              <w:rPr>
                <w:rFonts w:eastAsia="Times New Roman" w:cs="Tahoma"/>
                <w:lang w:eastAsia="en-GB"/>
              </w:rPr>
              <w:t>End September</w:t>
            </w:r>
          </w:p>
        </w:tc>
      </w:tr>
      <w:tr w:rsidR="00A6527C" w:rsidRPr="00E96657" w:rsidTr="00EE05A3">
        <w:tc>
          <w:tcPr>
            <w:tcW w:w="4111" w:type="dxa"/>
            <w:tcBorders>
              <w:top w:val="single" w:sz="8" w:space="0" w:color="4F81BD"/>
              <w:left w:val="single" w:sz="8" w:space="0" w:color="4F81BD"/>
              <w:bottom w:val="single" w:sz="8" w:space="0" w:color="4F81BD"/>
            </w:tcBorders>
            <w:vAlign w:val="center"/>
          </w:tcPr>
          <w:p w:rsidR="00A6527C" w:rsidRPr="002D731D" w:rsidRDefault="00A6527C" w:rsidP="00257B5D">
            <w:pPr>
              <w:spacing w:after="0"/>
              <w:rPr>
                <w:rFonts w:eastAsia="Times New Roman" w:cs="Tahoma"/>
                <w:bCs/>
                <w:lang w:eastAsia="en-GB"/>
              </w:rPr>
            </w:pPr>
            <w:r w:rsidRPr="002D731D">
              <w:rPr>
                <w:rFonts w:eastAsia="Times New Roman" w:cs="Tahoma"/>
                <w:bCs/>
                <w:lang w:eastAsia="en-GB"/>
              </w:rPr>
              <w:t>Analysing &amp; presenting data</w:t>
            </w:r>
            <w:r w:rsidR="00EE05A3" w:rsidRPr="002D731D">
              <w:rPr>
                <w:rFonts w:eastAsia="Times New Roman" w:cs="Tahoma"/>
                <w:bCs/>
                <w:lang w:eastAsia="en-GB"/>
              </w:rPr>
              <w:t xml:space="preserve"> (</w:t>
            </w:r>
            <w:r w:rsidR="002D731D">
              <w:rPr>
                <w:rFonts w:eastAsia="Times New Roman" w:cs="Tahoma"/>
                <w:bCs/>
                <w:lang w:eastAsia="en-GB"/>
              </w:rPr>
              <w:t>N</w:t>
            </w:r>
            <w:r w:rsidR="00EE05A3" w:rsidRPr="002D731D">
              <w:rPr>
                <w:rFonts w:eastAsia="Times New Roman" w:cs="Tahoma"/>
                <w:bCs/>
                <w:lang w:eastAsia="en-GB"/>
              </w:rPr>
              <w:t>)</w:t>
            </w:r>
          </w:p>
        </w:tc>
        <w:tc>
          <w:tcPr>
            <w:tcW w:w="2001" w:type="dxa"/>
            <w:tcBorders>
              <w:top w:val="single" w:sz="8" w:space="0" w:color="4F81BD"/>
              <w:bottom w:val="single" w:sz="8" w:space="0" w:color="4F81BD"/>
            </w:tcBorders>
            <w:vAlign w:val="center"/>
          </w:tcPr>
          <w:p w:rsidR="00A6527C" w:rsidRPr="00E96657" w:rsidRDefault="00A6527C" w:rsidP="00A6527C">
            <w:pPr>
              <w:spacing w:after="0"/>
              <w:jc w:val="center"/>
              <w:rPr>
                <w:rFonts w:eastAsia="Times New Roman" w:cs="Tahoma"/>
                <w:b/>
                <w:bCs/>
                <w:lang w:eastAsia="en-GB"/>
              </w:rPr>
            </w:pPr>
            <w:r w:rsidRPr="00F62FF8">
              <w:rPr>
                <w:rFonts w:ascii="Zapf Dingbats" w:hAnsi="Zapf Dingbats"/>
                <w:color w:val="000000"/>
              </w:rPr>
              <w:t>✓</w:t>
            </w:r>
          </w:p>
        </w:tc>
        <w:tc>
          <w:tcPr>
            <w:tcW w:w="2001" w:type="dxa"/>
            <w:tcBorders>
              <w:top w:val="single" w:sz="8" w:space="0" w:color="4F81BD"/>
              <w:bottom w:val="single" w:sz="8" w:space="0" w:color="4F81BD"/>
              <w:right w:val="single" w:sz="8" w:space="0" w:color="4F81BD"/>
            </w:tcBorders>
            <w:vAlign w:val="center"/>
          </w:tcPr>
          <w:p w:rsidR="00A6527C" w:rsidRPr="00E96657" w:rsidRDefault="00A6527C" w:rsidP="00A6527C">
            <w:pPr>
              <w:spacing w:after="0"/>
              <w:jc w:val="center"/>
              <w:rPr>
                <w:rFonts w:eastAsia="Times New Roman" w:cs="Tahoma"/>
                <w:b/>
                <w:bCs/>
                <w:lang w:eastAsia="en-GB"/>
              </w:rPr>
            </w:pPr>
            <w:r w:rsidRPr="00F62FF8">
              <w:rPr>
                <w:rFonts w:ascii="Zapf Dingbats" w:hAnsi="Zapf Dingbats"/>
                <w:color w:val="000000"/>
              </w:rPr>
              <w:t>✓</w:t>
            </w:r>
          </w:p>
        </w:tc>
      </w:tr>
      <w:tr w:rsidR="00705A68" w:rsidRPr="00E96657" w:rsidTr="00EE05A3">
        <w:tc>
          <w:tcPr>
            <w:tcW w:w="4111" w:type="dxa"/>
            <w:tcBorders>
              <w:top w:val="single" w:sz="8" w:space="0" w:color="4F81BD"/>
              <w:bottom w:val="single" w:sz="8" w:space="0" w:color="4F81BD"/>
            </w:tcBorders>
            <w:vAlign w:val="center"/>
          </w:tcPr>
          <w:p w:rsidR="00705A68" w:rsidRPr="002D731D" w:rsidRDefault="00705A68" w:rsidP="00257B5D">
            <w:pPr>
              <w:spacing w:after="0"/>
              <w:rPr>
                <w:rFonts w:eastAsia="Times New Roman" w:cs="Tahoma"/>
                <w:bCs/>
                <w:lang w:eastAsia="en-GB"/>
              </w:rPr>
            </w:pPr>
            <w:r w:rsidRPr="002D731D">
              <w:rPr>
                <w:rFonts w:eastAsia="Times New Roman" w:cs="Tahoma"/>
                <w:bCs/>
                <w:lang w:eastAsia="en-GB"/>
              </w:rPr>
              <w:t>Health</w:t>
            </w:r>
            <w:r w:rsidR="00065791" w:rsidRPr="002D731D">
              <w:rPr>
                <w:rFonts w:eastAsia="Times New Roman" w:cs="Tahoma"/>
                <w:bCs/>
                <w:lang w:eastAsia="en-GB"/>
              </w:rPr>
              <w:t xml:space="preserve"> economics</w:t>
            </w:r>
            <w:r w:rsidR="00EE05A3" w:rsidRPr="002D731D">
              <w:rPr>
                <w:rFonts w:eastAsia="Times New Roman" w:cs="Tahoma"/>
                <w:bCs/>
                <w:lang w:eastAsia="en-GB"/>
              </w:rPr>
              <w:t xml:space="preserve"> (</w:t>
            </w:r>
            <w:r w:rsidR="002D731D">
              <w:rPr>
                <w:rFonts w:eastAsia="Times New Roman" w:cs="Tahoma"/>
                <w:bCs/>
                <w:lang w:eastAsia="en-GB"/>
              </w:rPr>
              <w:t>N</w:t>
            </w:r>
            <w:r w:rsidR="00EE05A3" w:rsidRPr="002D731D">
              <w:rPr>
                <w:rFonts w:eastAsia="Times New Roman" w:cs="Tahoma"/>
                <w:bCs/>
                <w:lang w:eastAsia="en-GB"/>
              </w:rPr>
              <w:t>)</w:t>
            </w:r>
          </w:p>
        </w:tc>
        <w:tc>
          <w:tcPr>
            <w:tcW w:w="2001" w:type="dxa"/>
            <w:tcBorders>
              <w:top w:val="single" w:sz="8" w:space="0" w:color="4F81BD"/>
              <w:bottom w:val="single" w:sz="8" w:space="0" w:color="4F81BD"/>
            </w:tcBorders>
            <w:vAlign w:val="center"/>
          </w:tcPr>
          <w:p w:rsidR="00705A68" w:rsidRPr="00E96657" w:rsidRDefault="00A6527C" w:rsidP="00A6527C">
            <w:pPr>
              <w:spacing w:after="0"/>
              <w:jc w:val="center"/>
              <w:rPr>
                <w:rFonts w:eastAsia="Times New Roman" w:cs="Tahoma"/>
                <w:lang w:eastAsia="en-GB"/>
              </w:rPr>
            </w:pPr>
            <w:r>
              <w:rPr>
                <w:rFonts w:eastAsia="Times New Roman" w:cs="Tahoma"/>
                <w:lang w:eastAsia="en-GB"/>
              </w:rPr>
              <w:t>September</w:t>
            </w:r>
          </w:p>
        </w:tc>
        <w:tc>
          <w:tcPr>
            <w:tcW w:w="2001" w:type="dxa"/>
            <w:tcBorders>
              <w:top w:val="single" w:sz="8" w:space="0" w:color="4F81BD"/>
              <w:bottom w:val="single" w:sz="8" w:space="0" w:color="4F81BD"/>
            </w:tcBorders>
            <w:vAlign w:val="center"/>
          </w:tcPr>
          <w:p w:rsidR="00705A68" w:rsidRPr="00E96657" w:rsidRDefault="00705A68" w:rsidP="00A6527C">
            <w:pPr>
              <w:spacing w:after="0"/>
              <w:jc w:val="center"/>
              <w:rPr>
                <w:rFonts w:eastAsia="Times New Roman" w:cs="Tahoma"/>
                <w:lang w:eastAsia="en-GB"/>
              </w:rPr>
            </w:pPr>
            <w:r w:rsidRPr="00E96657">
              <w:rPr>
                <w:rFonts w:eastAsia="Times New Roman" w:cs="Tahoma"/>
                <w:lang w:eastAsia="en-GB"/>
              </w:rPr>
              <w:t xml:space="preserve">End </w:t>
            </w:r>
            <w:r w:rsidR="00A6527C">
              <w:rPr>
                <w:rFonts w:eastAsia="Times New Roman" w:cs="Tahoma"/>
                <w:lang w:eastAsia="en-GB"/>
              </w:rPr>
              <w:t>September</w:t>
            </w:r>
          </w:p>
        </w:tc>
      </w:tr>
      <w:tr w:rsidR="00705A68" w:rsidRPr="00E96657" w:rsidTr="00EE05A3">
        <w:tc>
          <w:tcPr>
            <w:tcW w:w="4111" w:type="dxa"/>
            <w:tcBorders>
              <w:top w:val="single" w:sz="8" w:space="0" w:color="4F81BD"/>
            </w:tcBorders>
            <w:vAlign w:val="center"/>
          </w:tcPr>
          <w:p w:rsidR="00705A68" w:rsidRPr="002D731D" w:rsidRDefault="00705A68" w:rsidP="00257B5D">
            <w:pPr>
              <w:spacing w:after="0"/>
              <w:rPr>
                <w:rFonts w:eastAsia="Times New Roman" w:cs="Tahoma"/>
                <w:bCs/>
                <w:lang w:eastAsia="en-GB"/>
              </w:rPr>
            </w:pPr>
            <w:r w:rsidRPr="002D731D">
              <w:rPr>
                <w:rFonts w:eastAsia="Times New Roman" w:cs="Tahoma"/>
                <w:bCs/>
                <w:lang w:eastAsia="en-GB"/>
              </w:rPr>
              <w:t>Types of</w:t>
            </w:r>
            <w:r w:rsidR="00065791" w:rsidRPr="002D731D">
              <w:rPr>
                <w:rFonts w:eastAsia="Times New Roman" w:cs="Tahoma"/>
                <w:bCs/>
                <w:lang w:eastAsia="en-GB"/>
              </w:rPr>
              <w:t xml:space="preserve"> data</w:t>
            </w:r>
            <w:r w:rsidR="00EE05A3" w:rsidRPr="002D731D">
              <w:rPr>
                <w:rFonts w:eastAsia="Times New Roman" w:cs="Tahoma"/>
                <w:bCs/>
                <w:lang w:eastAsia="en-GB"/>
              </w:rPr>
              <w:t xml:space="preserve"> (</w:t>
            </w:r>
            <w:r w:rsidR="002D731D">
              <w:rPr>
                <w:rFonts w:eastAsia="Times New Roman" w:cs="Tahoma"/>
                <w:bCs/>
                <w:lang w:eastAsia="en-GB"/>
              </w:rPr>
              <w:t>N</w:t>
            </w:r>
            <w:r w:rsidR="00EE05A3" w:rsidRPr="002D731D">
              <w:rPr>
                <w:rFonts w:eastAsia="Times New Roman" w:cs="Tahoma"/>
                <w:bCs/>
                <w:lang w:eastAsia="en-GB"/>
              </w:rPr>
              <w:t>)</w:t>
            </w:r>
          </w:p>
        </w:tc>
        <w:tc>
          <w:tcPr>
            <w:tcW w:w="2001" w:type="dxa"/>
            <w:tcBorders>
              <w:top w:val="single" w:sz="8" w:space="0" w:color="4F81BD"/>
            </w:tcBorders>
            <w:vAlign w:val="center"/>
          </w:tcPr>
          <w:p w:rsidR="00705A68" w:rsidRPr="00E96657" w:rsidRDefault="00A6527C" w:rsidP="00A6527C">
            <w:pPr>
              <w:spacing w:after="0"/>
              <w:jc w:val="center"/>
              <w:rPr>
                <w:rFonts w:eastAsia="Times New Roman" w:cs="Tahoma"/>
                <w:lang w:eastAsia="en-GB"/>
              </w:rPr>
            </w:pPr>
            <w:r>
              <w:rPr>
                <w:rFonts w:eastAsia="Times New Roman" w:cs="Tahoma"/>
                <w:lang w:eastAsia="en-GB"/>
              </w:rPr>
              <w:t>September</w:t>
            </w:r>
          </w:p>
        </w:tc>
        <w:tc>
          <w:tcPr>
            <w:tcW w:w="2001" w:type="dxa"/>
            <w:tcBorders>
              <w:top w:val="single" w:sz="8" w:space="0" w:color="4F81BD"/>
            </w:tcBorders>
            <w:vAlign w:val="center"/>
          </w:tcPr>
          <w:p w:rsidR="00705A68" w:rsidRPr="00E96657" w:rsidRDefault="00A6527C" w:rsidP="00A6527C">
            <w:pPr>
              <w:spacing w:after="0"/>
              <w:jc w:val="center"/>
              <w:rPr>
                <w:rFonts w:eastAsia="Times New Roman" w:cs="Tahoma"/>
                <w:lang w:eastAsia="en-GB"/>
              </w:rPr>
            </w:pPr>
            <w:r w:rsidRPr="00E96657">
              <w:rPr>
                <w:rFonts w:eastAsia="Times New Roman" w:cs="Tahoma"/>
                <w:lang w:eastAsia="en-GB"/>
              </w:rPr>
              <w:t xml:space="preserve">End </w:t>
            </w:r>
            <w:r>
              <w:rPr>
                <w:rFonts w:eastAsia="Times New Roman" w:cs="Tahoma"/>
                <w:lang w:eastAsia="en-GB"/>
              </w:rPr>
              <w:t>September</w:t>
            </w:r>
          </w:p>
        </w:tc>
      </w:tr>
      <w:tr w:rsidR="00705A68" w:rsidRPr="00E96657" w:rsidTr="00EE05A3">
        <w:tc>
          <w:tcPr>
            <w:tcW w:w="4111" w:type="dxa"/>
            <w:tcBorders>
              <w:top w:val="single" w:sz="8" w:space="0" w:color="4F81BD"/>
              <w:left w:val="single" w:sz="8" w:space="0" w:color="4F81BD"/>
              <w:bottom w:val="single" w:sz="8" w:space="0" w:color="4F81BD"/>
            </w:tcBorders>
            <w:vAlign w:val="center"/>
          </w:tcPr>
          <w:p w:rsidR="00705A68" w:rsidRPr="002D731D" w:rsidRDefault="00705A68" w:rsidP="002D731D">
            <w:pPr>
              <w:spacing w:after="0"/>
              <w:rPr>
                <w:rFonts w:eastAsia="Times New Roman" w:cs="Tahoma"/>
                <w:bCs/>
                <w:lang w:eastAsia="en-GB"/>
              </w:rPr>
            </w:pPr>
            <w:r w:rsidRPr="002D731D">
              <w:rPr>
                <w:rFonts w:eastAsia="Times New Roman" w:cs="Tahoma"/>
                <w:bCs/>
                <w:lang w:eastAsia="en-GB"/>
              </w:rPr>
              <w:t>Interpreting results &amp; conclusions</w:t>
            </w:r>
            <w:r w:rsidR="00EE05A3" w:rsidRPr="002D731D">
              <w:rPr>
                <w:rFonts w:eastAsia="Times New Roman" w:cs="Tahoma"/>
                <w:bCs/>
                <w:lang w:eastAsia="en-GB"/>
              </w:rPr>
              <w:t xml:space="preserve"> (</w:t>
            </w:r>
            <w:r w:rsidR="002D731D">
              <w:rPr>
                <w:rFonts w:eastAsia="Times New Roman" w:cs="Tahoma"/>
                <w:bCs/>
                <w:lang w:eastAsia="en-GB"/>
              </w:rPr>
              <w:t>N</w:t>
            </w:r>
            <w:r w:rsidR="00EE05A3" w:rsidRPr="002D731D">
              <w:rPr>
                <w:rFonts w:eastAsia="Times New Roman" w:cs="Tahoma"/>
                <w:bCs/>
                <w:lang w:eastAsia="en-GB"/>
              </w:rPr>
              <w:t>)</w:t>
            </w:r>
          </w:p>
        </w:tc>
        <w:tc>
          <w:tcPr>
            <w:tcW w:w="2001" w:type="dxa"/>
            <w:tcBorders>
              <w:top w:val="single" w:sz="8" w:space="0" w:color="4F81BD"/>
              <w:bottom w:val="single" w:sz="8" w:space="0" w:color="4F81BD"/>
            </w:tcBorders>
            <w:vAlign w:val="center"/>
          </w:tcPr>
          <w:p w:rsidR="00705A68" w:rsidRPr="00E96657" w:rsidRDefault="00A6527C" w:rsidP="00A6527C">
            <w:pPr>
              <w:spacing w:after="0"/>
              <w:jc w:val="center"/>
              <w:rPr>
                <w:rFonts w:eastAsia="Times New Roman" w:cs="Tahoma"/>
                <w:lang w:eastAsia="en-GB"/>
              </w:rPr>
            </w:pPr>
            <w:r>
              <w:rPr>
                <w:rFonts w:eastAsia="Times New Roman" w:cs="Tahoma"/>
                <w:lang w:eastAsia="en-GB"/>
              </w:rPr>
              <w:t>October</w:t>
            </w:r>
          </w:p>
        </w:tc>
        <w:tc>
          <w:tcPr>
            <w:tcW w:w="2001" w:type="dxa"/>
            <w:tcBorders>
              <w:top w:val="single" w:sz="8" w:space="0" w:color="4F81BD"/>
              <w:bottom w:val="single" w:sz="8" w:space="0" w:color="4F81BD"/>
              <w:right w:val="single" w:sz="8" w:space="0" w:color="4F81BD"/>
            </w:tcBorders>
            <w:vAlign w:val="center"/>
          </w:tcPr>
          <w:p w:rsidR="00705A68" w:rsidRPr="00E96657" w:rsidRDefault="00705A68" w:rsidP="00A6527C">
            <w:pPr>
              <w:spacing w:after="0"/>
              <w:jc w:val="center"/>
              <w:rPr>
                <w:rFonts w:eastAsia="Times New Roman" w:cs="Tahoma"/>
                <w:lang w:eastAsia="en-GB"/>
              </w:rPr>
            </w:pPr>
            <w:r w:rsidRPr="00E96657">
              <w:rPr>
                <w:rFonts w:eastAsia="Times New Roman" w:cs="Tahoma"/>
                <w:lang w:eastAsia="en-GB"/>
              </w:rPr>
              <w:t xml:space="preserve">End </w:t>
            </w:r>
            <w:r w:rsidR="00A6527C">
              <w:rPr>
                <w:rFonts w:eastAsia="Times New Roman" w:cs="Tahoma"/>
                <w:lang w:eastAsia="en-GB"/>
              </w:rPr>
              <w:t>October</w:t>
            </w:r>
          </w:p>
        </w:tc>
      </w:tr>
      <w:tr w:rsidR="00A6527C" w:rsidRPr="00E96657" w:rsidTr="00EE05A3">
        <w:tc>
          <w:tcPr>
            <w:tcW w:w="4111" w:type="dxa"/>
            <w:tcBorders>
              <w:top w:val="single" w:sz="8" w:space="0" w:color="4F81BD"/>
              <w:left w:val="single" w:sz="8" w:space="0" w:color="4F81BD"/>
              <w:bottom w:val="single" w:sz="8" w:space="0" w:color="4F81BD"/>
            </w:tcBorders>
            <w:vAlign w:val="center"/>
          </w:tcPr>
          <w:p w:rsidR="00A6527C" w:rsidRPr="00E96657" w:rsidRDefault="00A6527C" w:rsidP="00257B5D">
            <w:pPr>
              <w:spacing w:after="0"/>
              <w:rPr>
                <w:rFonts w:eastAsia="Times New Roman" w:cs="Tahoma"/>
                <w:bCs/>
                <w:lang w:eastAsia="en-GB"/>
              </w:rPr>
            </w:pPr>
            <w:r>
              <w:rPr>
                <w:rFonts w:eastAsia="Times New Roman" w:cs="Tahoma"/>
                <w:bCs/>
                <w:lang w:eastAsia="en-GB"/>
              </w:rPr>
              <w:t>Introduction to meta-analysis</w:t>
            </w:r>
            <w:r w:rsidR="002D731D">
              <w:rPr>
                <w:rFonts w:eastAsia="Times New Roman" w:cs="Tahoma"/>
                <w:bCs/>
                <w:lang w:eastAsia="en-GB"/>
              </w:rPr>
              <w:t xml:space="preserve"> (O)</w:t>
            </w:r>
          </w:p>
        </w:tc>
        <w:tc>
          <w:tcPr>
            <w:tcW w:w="2001" w:type="dxa"/>
            <w:tcBorders>
              <w:top w:val="single" w:sz="8" w:space="0" w:color="4F81BD"/>
              <w:bottom w:val="single" w:sz="8" w:space="0" w:color="4F81BD"/>
            </w:tcBorders>
            <w:vAlign w:val="center"/>
          </w:tcPr>
          <w:p w:rsidR="00A6527C" w:rsidRPr="00E96657" w:rsidRDefault="00A6527C" w:rsidP="00A6527C">
            <w:pPr>
              <w:spacing w:after="0"/>
              <w:jc w:val="center"/>
              <w:rPr>
                <w:rFonts w:eastAsia="Times New Roman" w:cs="Tahoma"/>
                <w:lang w:eastAsia="en-GB"/>
              </w:rPr>
            </w:pPr>
            <w:r w:rsidRPr="00F62FF8">
              <w:rPr>
                <w:rFonts w:ascii="Zapf Dingbats" w:hAnsi="Zapf Dingbats"/>
                <w:color w:val="000000"/>
              </w:rPr>
              <w:t>✓</w:t>
            </w:r>
          </w:p>
        </w:tc>
        <w:tc>
          <w:tcPr>
            <w:tcW w:w="2001" w:type="dxa"/>
            <w:tcBorders>
              <w:top w:val="single" w:sz="8" w:space="0" w:color="4F81BD"/>
              <w:bottom w:val="single" w:sz="8" w:space="0" w:color="4F81BD"/>
              <w:right w:val="single" w:sz="8" w:space="0" w:color="4F81BD"/>
            </w:tcBorders>
            <w:vAlign w:val="center"/>
          </w:tcPr>
          <w:p w:rsidR="00A6527C" w:rsidRPr="00E96657" w:rsidRDefault="00A6527C" w:rsidP="00A6527C">
            <w:pPr>
              <w:spacing w:after="0"/>
              <w:jc w:val="center"/>
              <w:rPr>
                <w:rFonts w:eastAsia="Times New Roman" w:cs="Tahoma"/>
                <w:lang w:eastAsia="en-GB"/>
              </w:rPr>
            </w:pPr>
            <w:r w:rsidRPr="00F62FF8">
              <w:rPr>
                <w:rFonts w:ascii="Zapf Dingbats" w:hAnsi="Zapf Dingbats"/>
                <w:color w:val="000000"/>
              </w:rPr>
              <w:t>✓</w:t>
            </w:r>
          </w:p>
        </w:tc>
      </w:tr>
      <w:tr w:rsidR="00A6527C" w:rsidRPr="00E96657" w:rsidTr="00EE05A3">
        <w:tc>
          <w:tcPr>
            <w:tcW w:w="4111" w:type="dxa"/>
            <w:tcBorders>
              <w:top w:val="single" w:sz="8" w:space="0" w:color="4F81BD"/>
              <w:left w:val="single" w:sz="8" w:space="0" w:color="4F81BD"/>
              <w:bottom w:val="single" w:sz="8" w:space="0" w:color="4F81BD"/>
            </w:tcBorders>
            <w:vAlign w:val="center"/>
          </w:tcPr>
          <w:p w:rsidR="00A6527C" w:rsidRPr="00E96657" w:rsidRDefault="00A6527C" w:rsidP="00257B5D">
            <w:pPr>
              <w:spacing w:after="0"/>
              <w:rPr>
                <w:rFonts w:eastAsia="Times New Roman" w:cs="Tahoma"/>
                <w:bCs/>
                <w:lang w:eastAsia="en-GB"/>
              </w:rPr>
            </w:pPr>
            <w:r>
              <w:rPr>
                <w:rFonts w:eastAsia="Times New Roman" w:cs="Tahoma"/>
                <w:bCs/>
                <w:lang w:eastAsia="en-GB"/>
              </w:rPr>
              <w:t>Introduction to heterogeneity</w:t>
            </w:r>
            <w:r w:rsidR="002D731D">
              <w:rPr>
                <w:rFonts w:eastAsia="Times New Roman" w:cs="Tahoma"/>
                <w:bCs/>
                <w:lang w:eastAsia="en-GB"/>
              </w:rPr>
              <w:t xml:space="preserve"> (O)</w:t>
            </w:r>
          </w:p>
        </w:tc>
        <w:tc>
          <w:tcPr>
            <w:tcW w:w="2001" w:type="dxa"/>
            <w:tcBorders>
              <w:top w:val="single" w:sz="8" w:space="0" w:color="4F81BD"/>
              <w:bottom w:val="single" w:sz="8" w:space="0" w:color="4F81BD"/>
            </w:tcBorders>
            <w:vAlign w:val="center"/>
          </w:tcPr>
          <w:p w:rsidR="00A6527C" w:rsidRPr="00E96657" w:rsidRDefault="00A6527C" w:rsidP="00A6527C">
            <w:pPr>
              <w:spacing w:after="0"/>
              <w:jc w:val="center"/>
              <w:rPr>
                <w:rFonts w:eastAsia="Times New Roman" w:cs="Tahoma"/>
                <w:lang w:eastAsia="en-GB"/>
              </w:rPr>
            </w:pPr>
            <w:r w:rsidRPr="00F62FF8">
              <w:rPr>
                <w:rFonts w:ascii="Zapf Dingbats" w:hAnsi="Zapf Dingbats"/>
                <w:color w:val="000000"/>
              </w:rPr>
              <w:t>✓</w:t>
            </w:r>
          </w:p>
        </w:tc>
        <w:tc>
          <w:tcPr>
            <w:tcW w:w="2001" w:type="dxa"/>
            <w:tcBorders>
              <w:top w:val="single" w:sz="8" w:space="0" w:color="4F81BD"/>
              <w:bottom w:val="single" w:sz="8" w:space="0" w:color="4F81BD"/>
              <w:right w:val="single" w:sz="8" w:space="0" w:color="4F81BD"/>
            </w:tcBorders>
            <w:vAlign w:val="center"/>
          </w:tcPr>
          <w:p w:rsidR="00A6527C" w:rsidRPr="00E96657" w:rsidRDefault="00A6527C" w:rsidP="00A6527C">
            <w:pPr>
              <w:spacing w:after="0"/>
              <w:jc w:val="center"/>
              <w:rPr>
                <w:rFonts w:eastAsia="Times New Roman" w:cs="Tahoma"/>
                <w:lang w:eastAsia="en-GB"/>
              </w:rPr>
            </w:pPr>
            <w:r w:rsidRPr="00F62FF8">
              <w:rPr>
                <w:rFonts w:ascii="Zapf Dingbats" w:hAnsi="Zapf Dingbats"/>
                <w:color w:val="000000"/>
              </w:rPr>
              <w:t>✓</w:t>
            </w:r>
          </w:p>
        </w:tc>
      </w:tr>
      <w:tr w:rsidR="00A6527C" w:rsidRPr="00E96657" w:rsidTr="00EE05A3">
        <w:tc>
          <w:tcPr>
            <w:tcW w:w="4111" w:type="dxa"/>
            <w:tcBorders>
              <w:top w:val="single" w:sz="8" w:space="0" w:color="4F81BD"/>
              <w:left w:val="single" w:sz="8" w:space="0" w:color="4F81BD"/>
              <w:bottom w:val="single" w:sz="8" w:space="0" w:color="4F81BD"/>
            </w:tcBorders>
            <w:vAlign w:val="center"/>
          </w:tcPr>
          <w:p w:rsidR="00A6527C" w:rsidRPr="00E96657" w:rsidRDefault="00A6527C" w:rsidP="00257B5D">
            <w:pPr>
              <w:spacing w:after="0"/>
              <w:rPr>
                <w:rFonts w:eastAsia="Times New Roman" w:cs="Tahoma"/>
                <w:bCs/>
                <w:lang w:eastAsia="en-GB"/>
              </w:rPr>
            </w:pPr>
            <w:r>
              <w:rPr>
                <w:rFonts w:eastAsia="Times New Roman" w:cs="Tahoma"/>
                <w:bCs/>
                <w:lang w:eastAsia="en-GB"/>
              </w:rPr>
              <w:t>Introduction to systematic reviews</w:t>
            </w:r>
            <w:r w:rsidR="002D731D">
              <w:rPr>
                <w:rFonts w:eastAsia="Times New Roman" w:cs="Tahoma"/>
                <w:bCs/>
                <w:lang w:eastAsia="en-GB"/>
              </w:rPr>
              <w:t xml:space="preserve"> (O)</w:t>
            </w:r>
          </w:p>
        </w:tc>
        <w:tc>
          <w:tcPr>
            <w:tcW w:w="2001" w:type="dxa"/>
            <w:tcBorders>
              <w:top w:val="single" w:sz="8" w:space="0" w:color="4F81BD"/>
              <w:bottom w:val="single" w:sz="8" w:space="0" w:color="4F81BD"/>
            </w:tcBorders>
            <w:vAlign w:val="center"/>
          </w:tcPr>
          <w:p w:rsidR="00A6527C" w:rsidRPr="00E96657" w:rsidRDefault="00A6527C" w:rsidP="00A6527C">
            <w:pPr>
              <w:spacing w:after="0"/>
              <w:jc w:val="center"/>
              <w:rPr>
                <w:rFonts w:eastAsia="Times New Roman" w:cs="Tahoma"/>
                <w:lang w:eastAsia="en-GB"/>
              </w:rPr>
            </w:pPr>
            <w:r>
              <w:rPr>
                <w:rFonts w:eastAsia="Times New Roman" w:cs="Tahoma"/>
                <w:lang w:eastAsia="en-GB"/>
              </w:rPr>
              <w:t>September</w:t>
            </w:r>
          </w:p>
        </w:tc>
        <w:tc>
          <w:tcPr>
            <w:tcW w:w="2001" w:type="dxa"/>
            <w:tcBorders>
              <w:top w:val="single" w:sz="8" w:space="0" w:color="4F81BD"/>
              <w:bottom w:val="single" w:sz="8" w:space="0" w:color="4F81BD"/>
              <w:right w:val="single" w:sz="8" w:space="0" w:color="4F81BD"/>
            </w:tcBorders>
            <w:vAlign w:val="center"/>
          </w:tcPr>
          <w:p w:rsidR="00A6527C" w:rsidRPr="00E96657" w:rsidRDefault="00A6527C" w:rsidP="00A6527C">
            <w:pPr>
              <w:spacing w:after="0"/>
              <w:jc w:val="center"/>
              <w:rPr>
                <w:rFonts w:eastAsia="Times New Roman" w:cs="Tahoma"/>
                <w:lang w:eastAsia="en-GB"/>
              </w:rPr>
            </w:pPr>
            <w:r w:rsidRPr="00E96657">
              <w:rPr>
                <w:rFonts w:eastAsia="Times New Roman" w:cs="Tahoma"/>
                <w:lang w:eastAsia="en-GB"/>
              </w:rPr>
              <w:t xml:space="preserve">End </w:t>
            </w:r>
            <w:r>
              <w:rPr>
                <w:rFonts w:eastAsia="Times New Roman" w:cs="Tahoma"/>
                <w:lang w:eastAsia="en-GB"/>
              </w:rPr>
              <w:t>October</w:t>
            </w:r>
          </w:p>
        </w:tc>
      </w:tr>
      <w:tr w:rsidR="00A6527C" w:rsidRPr="00E96657" w:rsidTr="00EE05A3">
        <w:tc>
          <w:tcPr>
            <w:tcW w:w="4111" w:type="dxa"/>
            <w:tcBorders>
              <w:top w:val="single" w:sz="8" w:space="0" w:color="4F81BD"/>
              <w:left w:val="single" w:sz="8" w:space="0" w:color="4F81BD"/>
              <w:bottom w:val="single" w:sz="8" w:space="0" w:color="4F81BD"/>
            </w:tcBorders>
            <w:vAlign w:val="center"/>
          </w:tcPr>
          <w:p w:rsidR="00A6527C" w:rsidRPr="00E96657" w:rsidRDefault="00A6527C" w:rsidP="00257B5D">
            <w:pPr>
              <w:spacing w:after="0"/>
              <w:rPr>
                <w:rFonts w:eastAsia="Times New Roman" w:cs="Tahoma"/>
                <w:bCs/>
                <w:lang w:eastAsia="en-GB"/>
              </w:rPr>
            </w:pPr>
            <w:r>
              <w:rPr>
                <w:rFonts w:eastAsia="Times New Roman" w:cs="Tahoma"/>
                <w:bCs/>
                <w:lang w:eastAsia="en-GB"/>
              </w:rPr>
              <w:t>Writing a protocol</w:t>
            </w:r>
            <w:r w:rsidR="002D731D">
              <w:rPr>
                <w:rFonts w:eastAsia="Times New Roman" w:cs="Tahoma"/>
                <w:bCs/>
                <w:lang w:eastAsia="en-GB"/>
              </w:rPr>
              <w:t xml:space="preserve"> (O)</w:t>
            </w:r>
          </w:p>
        </w:tc>
        <w:tc>
          <w:tcPr>
            <w:tcW w:w="2001" w:type="dxa"/>
            <w:tcBorders>
              <w:top w:val="single" w:sz="8" w:space="0" w:color="4F81BD"/>
              <w:bottom w:val="single" w:sz="8" w:space="0" w:color="4F81BD"/>
            </w:tcBorders>
            <w:vAlign w:val="center"/>
          </w:tcPr>
          <w:p w:rsidR="00A6527C" w:rsidRPr="00E96657" w:rsidRDefault="00A6527C" w:rsidP="00A6527C">
            <w:pPr>
              <w:spacing w:after="0"/>
              <w:jc w:val="center"/>
              <w:rPr>
                <w:rFonts w:eastAsia="Times New Roman" w:cs="Tahoma"/>
                <w:lang w:eastAsia="en-GB"/>
              </w:rPr>
            </w:pPr>
            <w:r>
              <w:rPr>
                <w:rFonts w:eastAsia="Times New Roman" w:cs="Tahoma"/>
                <w:lang w:eastAsia="en-GB"/>
              </w:rPr>
              <w:t>September</w:t>
            </w:r>
          </w:p>
        </w:tc>
        <w:tc>
          <w:tcPr>
            <w:tcW w:w="2001" w:type="dxa"/>
            <w:tcBorders>
              <w:top w:val="single" w:sz="8" w:space="0" w:color="4F81BD"/>
              <w:bottom w:val="single" w:sz="8" w:space="0" w:color="4F81BD"/>
              <w:right w:val="single" w:sz="8" w:space="0" w:color="4F81BD"/>
            </w:tcBorders>
            <w:vAlign w:val="center"/>
          </w:tcPr>
          <w:p w:rsidR="00A6527C" w:rsidRPr="00E96657" w:rsidRDefault="00A6527C" w:rsidP="00A6527C">
            <w:pPr>
              <w:spacing w:after="0"/>
              <w:jc w:val="center"/>
              <w:rPr>
                <w:rFonts w:eastAsia="Times New Roman" w:cs="Tahoma"/>
                <w:lang w:eastAsia="en-GB"/>
              </w:rPr>
            </w:pPr>
            <w:r w:rsidRPr="00E96657">
              <w:rPr>
                <w:rFonts w:eastAsia="Times New Roman" w:cs="Tahoma"/>
                <w:lang w:eastAsia="en-GB"/>
              </w:rPr>
              <w:t xml:space="preserve">End </w:t>
            </w:r>
            <w:r>
              <w:rPr>
                <w:rFonts w:eastAsia="Times New Roman" w:cs="Tahoma"/>
                <w:lang w:eastAsia="en-GB"/>
              </w:rPr>
              <w:t>October</w:t>
            </w:r>
          </w:p>
        </w:tc>
      </w:tr>
      <w:tr w:rsidR="00A6527C" w:rsidRPr="00E96657" w:rsidTr="00EE05A3">
        <w:tc>
          <w:tcPr>
            <w:tcW w:w="4111" w:type="dxa"/>
            <w:tcBorders>
              <w:top w:val="single" w:sz="8" w:space="0" w:color="4F81BD"/>
              <w:left w:val="single" w:sz="8" w:space="0" w:color="4F81BD"/>
              <w:bottom w:val="single" w:sz="8" w:space="0" w:color="4F81BD"/>
            </w:tcBorders>
            <w:vAlign w:val="center"/>
          </w:tcPr>
          <w:p w:rsidR="00A6527C" w:rsidRPr="00E96657" w:rsidRDefault="00A6527C" w:rsidP="00257B5D">
            <w:pPr>
              <w:spacing w:after="0"/>
              <w:rPr>
                <w:rFonts w:eastAsia="Times New Roman" w:cs="Tahoma"/>
                <w:bCs/>
                <w:lang w:eastAsia="en-GB"/>
              </w:rPr>
            </w:pPr>
            <w:r>
              <w:rPr>
                <w:rFonts w:eastAsia="Times New Roman" w:cs="Tahoma"/>
                <w:bCs/>
                <w:lang w:eastAsia="en-GB"/>
              </w:rPr>
              <w:t>Collecting data</w:t>
            </w:r>
            <w:r w:rsidR="002D731D">
              <w:rPr>
                <w:rFonts w:eastAsia="Times New Roman" w:cs="Tahoma"/>
                <w:bCs/>
                <w:lang w:eastAsia="en-GB"/>
              </w:rPr>
              <w:t xml:space="preserve"> (O)</w:t>
            </w:r>
          </w:p>
        </w:tc>
        <w:tc>
          <w:tcPr>
            <w:tcW w:w="2001" w:type="dxa"/>
            <w:tcBorders>
              <w:top w:val="single" w:sz="8" w:space="0" w:color="4F81BD"/>
              <w:bottom w:val="single" w:sz="8" w:space="0" w:color="4F81BD"/>
            </w:tcBorders>
            <w:vAlign w:val="center"/>
          </w:tcPr>
          <w:p w:rsidR="00A6527C" w:rsidRPr="00E96657" w:rsidRDefault="00A6527C" w:rsidP="00A6527C">
            <w:pPr>
              <w:spacing w:after="0"/>
              <w:jc w:val="center"/>
              <w:rPr>
                <w:rFonts w:eastAsia="Times New Roman" w:cs="Tahoma"/>
                <w:lang w:eastAsia="en-GB"/>
              </w:rPr>
            </w:pPr>
            <w:r w:rsidRPr="00F62FF8">
              <w:rPr>
                <w:rFonts w:ascii="Zapf Dingbats" w:hAnsi="Zapf Dingbats"/>
                <w:color w:val="000000"/>
              </w:rPr>
              <w:t>✓</w:t>
            </w:r>
          </w:p>
        </w:tc>
        <w:tc>
          <w:tcPr>
            <w:tcW w:w="2001" w:type="dxa"/>
            <w:tcBorders>
              <w:top w:val="single" w:sz="8" w:space="0" w:color="4F81BD"/>
              <w:bottom w:val="single" w:sz="8" w:space="0" w:color="4F81BD"/>
              <w:right w:val="single" w:sz="8" w:space="0" w:color="4F81BD"/>
            </w:tcBorders>
            <w:vAlign w:val="center"/>
          </w:tcPr>
          <w:p w:rsidR="00A6527C" w:rsidRPr="00E96657" w:rsidRDefault="00A6527C" w:rsidP="00A6527C">
            <w:pPr>
              <w:spacing w:after="0"/>
              <w:jc w:val="center"/>
              <w:rPr>
                <w:rFonts w:eastAsia="Times New Roman" w:cs="Tahoma"/>
                <w:lang w:eastAsia="en-GB"/>
              </w:rPr>
            </w:pPr>
            <w:r>
              <w:rPr>
                <w:rFonts w:eastAsia="Times New Roman" w:cs="Tahoma"/>
                <w:lang w:eastAsia="en-GB"/>
              </w:rPr>
              <w:t>End September</w:t>
            </w:r>
          </w:p>
        </w:tc>
      </w:tr>
      <w:tr w:rsidR="00A6527C" w:rsidRPr="00E96657" w:rsidTr="00EE05A3">
        <w:tc>
          <w:tcPr>
            <w:tcW w:w="4111" w:type="dxa"/>
            <w:tcBorders>
              <w:top w:val="single" w:sz="8" w:space="0" w:color="4F81BD"/>
              <w:left w:val="single" w:sz="8" w:space="0" w:color="4F81BD"/>
              <w:bottom w:val="single" w:sz="8" w:space="0" w:color="4F81BD"/>
            </w:tcBorders>
            <w:vAlign w:val="center"/>
          </w:tcPr>
          <w:p w:rsidR="00A6527C" w:rsidRPr="00E96657" w:rsidRDefault="00A6527C" w:rsidP="00257B5D">
            <w:pPr>
              <w:spacing w:after="0"/>
              <w:rPr>
                <w:rFonts w:eastAsia="Times New Roman" w:cs="Tahoma"/>
                <w:bCs/>
                <w:lang w:eastAsia="en-GB"/>
              </w:rPr>
            </w:pPr>
            <w:r>
              <w:rPr>
                <w:rFonts w:eastAsia="Times New Roman" w:cs="Tahoma"/>
                <w:bCs/>
                <w:lang w:eastAsia="en-GB"/>
              </w:rPr>
              <w:t>Searching for studies</w:t>
            </w:r>
            <w:r w:rsidR="002D731D">
              <w:rPr>
                <w:rFonts w:eastAsia="Times New Roman" w:cs="Tahoma"/>
                <w:bCs/>
                <w:lang w:eastAsia="en-GB"/>
              </w:rPr>
              <w:t xml:space="preserve"> (O)</w:t>
            </w:r>
          </w:p>
        </w:tc>
        <w:tc>
          <w:tcPr>
            <w:tcW w:w="2001" w:type="dxa"/>
            <w:tcBorders>
              <w:top w:val="single" w:sz="8" w:space="0" w:color="4F81BD"/>
              <w:bottom w:val="single" w:sz="8" w:space="0" w:color="4F81BD"/>
            </w:tcBorders>
            <w:vAlign w:val="center"/>
          </w:tcPr>
          <w:p w:rsidR="00A6527C" w:rsidRPr="00E96657" w:rsidRDefault="00A6527C" w:rsidP="00A6527C">
            <w:pPr>
              <w:spacing w:after="0"/>
              <w:jc w:val="center"/>
              <w:rPr>
                <w:rFonts w:eastAsia="Times New Roman" w:cs="Tahoma"/>
                <w:lang w:eastAsia="en-GB"/>
              </w:rPr>
            </w:pPr>
            <w:r>
              <w:rPr>
                <w:rFonts w:eastAsia="Times New Roman" w:cs="Tahoma"/>
                <w:lang w:eastAsia="en-GB"/>
              </w:rPr>
              <w:t>Not being updated</w:t>
            </w:r>
          </w:p>
        </w:tc>
        <w:tc>
          <w:tcPr>
            <w:tcW w:w="2001" w:type="dxa"/>
            <w:tcBorders>
              <w:top w:val="single" w:sz="8" w:space="0" w:color="4F81BD"/>
              <w:bottom w:val="single" w:sz="8" w:space="0" w:color="4F81BD"/>
              <w:right w:val="single" w:sz="8" w:space="0" w:color="4F81BD"/>
            </w:tcBorders>
            <w:vAlign w:val="center"/>
          </w:tcPr>
          <w:p w:rsidR="00A6527C" w:rsidRPr="00E96657" w:rsidRDefault="00AE26BB" w:rsidP="00A6527C">
            <w:pPr>
              <w:spacing w:after="0"/>
              <w:jc w:val="center"/>
              <w:rPr>
                <w:rFonts w:eastAsia="Times New Roman" w:cs="Tahoma"/>
                <w:lang w:eastAsia="en-GB"/>
              </w:rPr>
            </w:pPr>
            <w:r>
              <w:rPr>
                <w:rFonts w:eastAsia="Times New Roman" w:cs="Tahoma"/>
                <w:lang w:eastAsia="en-GB"/>
              </w:rPr>
              <w:t>Not being updated</w:t>
            </w:r>
          </w:p>
        </w:tc>
      </w:tr>
    </w:tbl>
    <w:p w:rsidR="00705A68" w:rsidRPr="00E96657" w:rsidRDefault="00705A68" w:rsidP="00705A68">
      <w:pPr>
        <w:spacing w:after="120"/>
        <w:ind w:left="360"/>
      </w:pPr>
    </w:p>
    <w:p w:rsidR="006B65D1" w:rsidRPr="00E96657" w:rsidRDefault="006B65D1" w:rsidP="00F93FC3">
      <w:pPr>
        <w:numPr>
          <w:ilvl w:val="0"/>
          <w:numId w:val="21"/>
        </w:numPr>
        <w:spacing w:after="0"/>
        <w:ind w:left="357" w:hanging="357"/>
        <w:rPr>
          <w:b/>
        </w:rPr>
      </w:pPr>
      <w:r w:rsidRPr="00E96657">
        <w:rPr>
          <w:b/>
        </w:rPr>
        <w:t>Standard Author Training Materials</w:t>
      </w:r>
      <w:r w:rsidR="00C14E20" w:rsidRPr="00E96657">
        <w:rPr>
          <w:b/>
        </w:rPr>
        <w:t xml:space="preserve"> (SATMs)</w:t>
      </w:r>
    </w:p>
    <w:p w:rsidR="00A632B8" w:rsidRPr="00A632B8" w:rsidRDefault="00A632B8" w:rsidP="00A632B8">
      <w:pPr>
        <w:numPr>
          <w:ilvl w:val="0"/>
          <w:numId w:val="23"/>
        </w:numPr>
        <w:spacing w:after="0"/>
        <w:ind w:left="714" w:hanging="357"/>
        <w:rPr>
          <w:bCs/>
        </w:rPr>
      </w:pPr>
      <w:r w:rsidRPr="00A632B8">
        <w:rPr>
          <w:bCs/>
          <w:lang w:val="en-AU"/>
        </w:rPr>
        <w:t xml:space="preserve">updated </w:t>
      </w:r>
      <w:r w:rsidR="00DA5C9D">
        <w:rPr>
          <w:bCs/>
          <w:lang w:val="en-AU"/>
        </w:rPr>
        <w:t xml:space="preserve">the 14 presentations </w:t>
      </w:r>
      <w:r w:rsidRPr="00A632B8">
        <w:rPr>
          <w:bCs/>
          <w:lang w:val="en-AU"/>
        </w:rPr>
        <w:t xml:space="preserve">to comply with the MECIR Conduct standards and </w:t>
      </w:r>
      <w:r w:rsidR="00DA5C9D">
        <w:rPr>
          <w:bCs/>
          <w:lang w:val="en-AU"/>
        </w:rPr>
        <w:t>documented the changes i</w:t>
      </w:r>
      <w:r w:rsidRPr="00A632B8">
        <w:rPr>
          <w:bCs/>
          <w:lang w:val="en-AU"/>
        </w:rPr>
        <w:t>n the accompanying content map files</w:t>
      </w:r>
      <w:r>
        <w:rPr>
          <w:bCs/>
          <w:lang w:val="en-AU"/>
        </w:rPr>
        <w:t xml:space="preserve">; </w:t>
      </w:r>
      <w:r w:rsidR="00DA5C9D">
        <w:rPr>
          <w:bCs/>
          <w:lang w:val="en-AU"/>
        </w:rPr>
        <w:t>p</w:t>
      </w:r>
      <w:r w:rsidR="00DA5C9D" w:rsidRPr="00DA5C9D">
        <w:rPr>
          <w:bCs/>
          <w:lang w:val="en-AU"/>
        </w:rPr>
        <w:t xml:space="preserve">resentations with </w:t>
      </w:r>
      <w:r w:rsidR="00DA5C9D" w:rsidRPr="00DA5C9D">
        <w:rPr>
          <w:bCs/>
          <w:lang w:val="en-AU"/>
        </w:rPr>
        <w:lastRenderedPageBreak/>
        <w:t>substantive changes will be forwarded to the relevant Methods Group for re-approval before being posted to the website</w:t>
      </w:r>
      <w:r w:rsidR="00DA5C9D">
        <w:rPr>
          <w:bCs/>
          <w:lang w:val="en-AU"/>
        </w:rPr>
        <w:t xml:space="preserve">; </w:t>
      </w:r>
      <w:r w:rsidR="00DA5C9D" w:rsidRPr="00DA5C9D">
        <w:rPr>
          <w:bCs/>
          <w:lang w:val="en-AU"/>
        </w:rPr>
        <w:t>same process will be repeated to ensure the presentations comply with the MECIR Reporting standards</w:t>
      </w:r>
    </w:p>
    <w:p w:rsidR="00A632B8" w:rsidRPr="00A632B8" w:rsidRDefault="00A632B8" w:rsidP="00A632B8">
      <w:pPr>
        <w:numPr>
          <w:ilvl w:val="0"/>
          <w:numId w:val="23"/>
        </w:numPr>
        <w:spacing w:after="0"/>
        <w:ind w:left="714" w:hanging="357"/>
        <w:rPr>
          <w:bCs/>
        </w:rPr>
      </w:pPr>
      <w:r w:rsidRPr="00A632B8">
        <w:rPr>
          <w:bCs/>
          <w:lang w:val="en-AU"/>
        </w:rPr>
        <w:t xml:space="preserve">Iberoamerican Cochrane Centre is </w:t>
      </w:r>
      <w:r w:rsidR="003B3BAB">
        <w:rPr>
          <w:bCs/>
          <w:lang w:val="en-AU"/>
        </w:rPr>
        <w:t>translati</w:t>
      </w:r>
      <w:r w:rsidRPr="00A632B8">
        <w:rPr>
          <w:bCs/>
          <w:lang w:val="en-AU"/>
        </w:rPr>
        <w:t>n</w:t>
      </w:r>
      <w:r w:rsidR="003B3BAB">
        <w:rPr>
          <w:bCs/>
          <w:lang w:val="en-AU"/>
        </w:rPr>
        <w:t>g</w:t>
      </w:r>
      <w:r w:rsidRPr="00A632B8">
        <w:rPr>
          <w:bCs/>
          <w:lang w:val="en-AU"/>
        </w:rPr>
        <w:t xml:space="preserve"> all the standard materials into Spanish; Korean versions of several presentations are </w:t>
      </w:r>
      <w:r>
        <w:rPr>
          <w:bCs/>
          <w:lang w:val="en-AU"/>
        </w:rPr>
        <w:t>now</w:t>
      </w:r>
      <w:r w:rsidRPr="00A632B8">
        <w:rPr>
          <w:bCs/>
          <w:lang w:val="en-AU"/>
        </w:rPr>
        <w:t xml:space="preserve"> available online with others to follow in the coming months; there is interest in having versions of the materials in Farsi</w:t>
      </w:r>
      <w:r>
        <w:rPr>
          <w:bCs/>
          <w:lang w:val="en-AU"/>
        </w:rPr>
        <w:t xml:space="preserve"> and Italian</w:t>
      </w:r>
    </w:p>
    <w:p w:rsidR="00A632B8" w:rsidRPr="00A632B8" w:rsidRDefault="00A632B8" w:rsidP="00A632B8">
      <w:pPr>
        <w:numPr>
          <w:ilvl w:val="0"/>
          <w:numId w:val="23"/>
        </w:numPr>
        <w:spacing w:after="0"/>
        <w:ind w:left="714" w:hanging="357"/>
        <w:rPr>
          <w:bCs/>
        </w:rPr>
      </w:pPr>
      <w:r>
        <w:rPr>
          <w:bCs/>
          <w:lang w:val="en-AU"/>
        </w:rPr>
        <w:t>s</w:t>
      </w:r>
      <w:r w:rsidRPr="00A632B8">
        <w:rPr>
          <w:bCs/>
          <w:lang w:val="en-AU"/>
        </w:rPr>
        <w:t>everal new resources (</w:t>
      </w:r>
      <w:r w:rsidR="001559B8">
        <w:rPr>
          <w:bCs/>
          <w:lang w:val="en-AU"/>
        </w:rPr>
        <w:t>study selection exercise, GRADE exercise</w:t>
      </w:r>
      <w:r w:rsidRPr="00A632B8">
        <w:rPr>
          <w:bCs/>
          <w:lang w:val="en-AU"/>
        </w:rPr>
        <w:t xml:space="preserve"> and quizzes) developed by the training team at the Australasian Cochrane Centre and </w:t>
      </w:r>
      <w:r w:rsidR="003B3BAB">
        <w:rPr>
          <w:bCs/>
          <w:lang w:val="en-AU"/>
        </w:rPr>
        <w:t>piloted</w:t>
      </w:r>
      <w:r w:rsidRPr="00A632B8">
        <w:rPr>
          <w:bCs/>
          <w:lang w:val="en-AU"/>
        </w:rPr>
        <w:t xml:space="preserve"> in workshops since April</w:t>
      </w:r>
      <w:r>
        <w:rPr>
          <w:bCs/>
          <w:lang w:val="en-AU"/>
        </w:rPr>
        <w:t>; t</w:t>
      </w:r>
      <w:r w:rsidRPr="00A632B8">
        <w:rPr>
          <w:bCs/>
          <w:lang w:val="en-AU"/>
        </w:rPr>
        <w:t xml:space="preserve">hese resources, plus trainers’ notes, will be </w:t>
      </w:r>
      <w:r>
        <w:rPr>
          <w:bCs/>
          <w:lang w:val="en-AU"/>
        </w:rPr>
        <w:t>disseminated</w:t>
      </w:r>
      <w:r w:rsidRPr="00A632B8">
        <w:rPr>
          <w:bCs/>
          <w:lang w:val="en-AU"/>
        </w:rPr>
        <w:t xml:space="preserve"> to members of the Trainers’</w:t>
      </w:r>
      <w:r>
        <w:rPr>
          <w:bCs/>
          <w:lang w:val="en-AU"/>
        </w:rPr>
        <w:t xml:space="preserve"> Network</w:t>
      </w:r>
    </w:p>
    <w:p w:rsidR="00A632B8" w:rsidRPr="00E96657" w:rsidRDefault="00A632B8" w:rsidP="00A632B8">
      <w:pPr>
        <w:numPr>
          <w:ilvl w:val="0"/>
          <w:numId w:val="23"/>
        </w:numPr>
        <w:spacing w:after="0"/>
        <w:ind w:left="714" w:hanging="357"/>
      </w:pPr>
      <w:r>
        <w:t xml:space="preserve">feedback received on a new presentation on </w:t>
      </w:r>
      <w:r w:rsidRPr="00005C7F">
        <w:t>Interpreting results and drawing conclusions</w:t>
      </w:r>
      <w:r>
        <w:t xml:space="preserve">; heterogeneity presentation </w:t>
      </w:r>
      <w:r w:rsidR="00355CD7">
        <w:t xml:space="preserve">updated in response to feedback and almost ready for </w:t>
      </w:r>
      <w:r w:rsidR="003B3BAB">
        <w:t>final approval by Methods Board</w:t>
      </w:r>
    </w:p>
    <w:p w:rsidR="00355CD7" w:rsidRDefault="00355CD7" w:rsidP="00C729D3">
      <w:pPr>
        <w:numPr>
          <w:ilvl w:val="0"/>
          <w:numId w:val="23"/>
        </w:numPr>
        <w:spacing w:after="0"/>
        <w:ind w:left="714" w:hanging="357"/>
      </w:pPr>
      <w:r>
        <w:t xml:space="preserve">video and audio recordings, featuring the interactive components of the standard Cochrane workshops run in Australia, are being edited; the purpose is to illustrate </w:t>
      </w:r>
      <w:r w:rsidR="00164438">
        <w:t xml:space="preserve">to trainers </w:t>
      </w:r>
      <w:r w:rsidRPr="00E96657">
        <w:t>how t</w:t>
      </w:r>
      <w:r w:rsidR="00164438">
        <w:t>hey might</w:t>
      </w:r>
      <w:r w:rsidRPr="00E96657">
        <w:t xml:space="preserve"> run some of the small groups sessions</w:t>
      </w:r>
    </w:p>
    <w:p w:rsidR="00C729D3" w:rsidRDefault="003B3BAB" w:rsidP="00355CD7">
      <w:pPr>
        <w:numPr>
          <w:ilvl w:val="0"/>
          <w:numId w:val="23"/>
        </w:numPr>
        <w:spacing w:after="0"/>
        <w:ind w:left="714" w:hanging="357"/>
      </w:pPr>
      <w:r>
        <w:t xml:space="preserve">recordings of several presentations of the standard materials taken at Australian workshops </w:t>
      </w:r>
      <w:r w:rsidR="003F3318">
        <w:t xml:space="preserve">this year are ready to </w:t>
      </w:r>
      <w:r>
        <w:t>add as voiceovers</w:t>
      </w:r>
      <w:r w:rsidR="003F3318">
        <w:t xml:space="preserve">; still </w:t>
      </w:r>
      <w:r>
        <w:t xml:space="preserve">plan to invite a range </w:t>
      </w:r>
      <w:r w:rsidR="003F3318">
        <w:t>of experts to record voiceovers, especially for the more methods topics</w:t>
      </w:r>
    </w:p>
    <w:p w:rsidR="009A45B3" w:rsidRPr="00E96657" w:rsidRDefault="009A45B3" w:rsidP="00C729D3">
      <w:pPr>
        <w:spacing w:after="0"/>
        <w:ind w:left="357"/>
      </w:pPr>
    </w:p>
    <w:p w:rsidR="00C13AC3" w:rsidRPr="00E96657" w:rsidRDefault="00C13AC3" w:rsidP="00F93FC3">
      <w:pPr>
        <w:numPr>
          <w:ilvl w:val="0"/>
          <w:numId w:val="21"/>
        </w:numPr>
        <w:spacing w:after="0"/>
        <w:ind w:left="357" w:hanging="357"/>
        <w:rPr>
          <w:b/>
        </w:rPr>
      </w:pPr>
      <w:r w:rsidRPr="00E96657">
        <w:rPr>
          <w:b/>
        </w:rPr>
        <w:t>‘Cochrane Live’  webinars</w:t>
      </w:r>
    </w:p>
    <w:p w:rsidR="00BC7259" w:rsidRDefault="00BC7259" w:rsidP="00C729D3">
      <w:pPr>
        <w:numPr>
          <w:ilvl w:val="0"/>
          <w:numId w:val="23"/>
        </w:numPr>
        <w:spacing w:after="0"/>
        <w:ind w:left="714" w:hanging="357"/>
      </w:pPr>
      <w:r>
        <w:t>Collaboration’s licence for one ‘virtual classroom’ in Blackboard Collaborate renewed in August 2012</w:t>
      </w:r>
    </w:p>
    <w:p w:rsidR="00BC7259" w:rsidRDefault="00BC7259" w:rsidP="00C729D3">
      <w:pPr>
        <w:numPr>
          <w:ilvl w:val="0"/>
          <w:numId w:val="23"/>
        </w:numPr>
        <w:spacing w:after="0"/>
        <w:ind w:left="714" w:hanging="357"/>
      </w:pPr>
      <w:r>
        <w:t>created</w:t>
      </w:r>
      <w:r>
        <w:rPr>
          <w:lang w:val="en-AU"/>
        </w:rPr>
        <w:t xml:space="preserve"> draft PowerP</w:t>
      </w:r>
      <w:r w:rsidRPr="00BC7259">
        <w:rPr>
          <w:lang w:val="en-AU"/>
        </w:rPr>
        <w:t>oint templates, email text for participants, etc. to share with possible new presenters</w:t>
      </w:r>
      <w:r>
        <w:rPr>
          <w:lang w:val="en-AU"/>
        </w:rPr>
        <w:t xml:space="preserve">; </w:t>
      </w:r>
      <w:r w:rsidRPr="00BC7259">
        <w:rPr>
          <w:lang w:val="en-AU"/>
        </w:rPr>
        <w:t>Canadian</w:t>
      </w:r>
      <w:r>
        <w:rPr>
          <w:lang w:val="en-AU"/>
        </w:rPr>
        <w:t xml:space="preserve"> Cochrane Centre has</w:t>
      </w:r>
      <w:r w:rsidRPr="00BC7259">
        <w:rPr>
          <w:lang w:val="en-AU"/>
        </w:rPr>
        <w:t xml:space="preserve"> two recorded webinars on how to moderate webinars</w:t>
      </w:r>
      <w:r>
        <w:rPr>
          <w:lang w:val="en-AU"/>
        </w:rPr>
        <w:t>; r</w:t>
      </w:r>
      <w:r w:rsidRPr="00BC7259">
        <w:rPr>
          <w:lang w:val="en-AU"/>
        </w:rPr>
        <w:t>elevant resources made available to all trainers online</w:t>
      </w:r>
    </w:p>
    <w:p w:rsidR="0007573E" w:rsidRDefault="0007573E" w:rsidP="0007573E">
      <w:pPr>
        <w:numPr>
          <w:ilvl w:val="0"/>
          <w:numId w:val="23"/>
        </w:numPr>
        <w:spacing w:after="0"/>
        <w:ind w:left="714" w:hanging="357"/>
        <w:rPr>
          <w:lang w:val="en-US"/>
        </w:rPr>
      </w:pPr>
      <w:r>
        <w:t>two webinars held since April (</w:t>
      </w:r>
      <w:r w:rsidRPr="0007573E">
        <w:rPr>
          <w:i/>
          <w:lang w:val="en-US"/>
        </w:rPr>
        <w:t>Writing a great abstract</w:t>
      </w:r>
      <w:r w:rsidRPr="0007573E">
        <w:rPr>
          <w:lang w:val="en-US"/>
        </w:rPr>
        <w:t xml:space="preserve"> </w:t>
      </w:r>
      <w:r>
        <w:rPr>
          <w:lang w:val="en-US"/>
        </w:rPr>
        <w:t xml:space="preserve">and </w:t>
      </w:r>
      <w:r w:rsidRPr="0007573E">
        <w:rPr>
          <w:i/>
          <w:lang w:val="en-US"/>
        </w:rPr>
        <w:t>Creating a `Summary of Findings' table with GRADEprofiler</w:t>
      </w:r>
      <w:r w:rsidRPr="0007573E">
        <w:rPr>
          <w:lang w:val="en-US"/>
        </w:rPr>
        <w:t>)</w:t>
      </w:r>
      <w:r>
        <w:rPr>
          <w:lang w:val="en-US"/>
        </w:rPr>
        <w:t>; recordings available via the</w:t>
      </w:r>
      <w:r w:rsidR="00164438">
        <w:rPr>
          <w:lang w:val="en-US"/>
        </w:rPr>
        <w:t xml:space="preserve"> Cochrane</w:t>
      </w:r>
      <w:r>
        <w:rPr>
          <w:lang w:val="en-US"/>
        </w:rPr>
        <w:t xml:space="preserve"> Training website</w:t>
      </w:r>
    </w:p>
    <w:p w:rsidR="00C13AC3" w:rsidRDefault="0007573E" w:rsidP="0007573E">
      <w:pPr>
        <w:numPr>
          <w:ilvl w:val="0"/>
          <w:numId w:val="23"/>
        </w:numPr>
        <w:spacing w:after="0"/>
        <w:ind w:left="714" w:hanging="357"/>
        <w:rPr>
          <w:lang w:val="en-US"/>
        </w:rPr>
      </w:pPr>
      <w:r>
        <w:rPr>
          <w:lang w:val="en-US"/>
        </w:rPr>
        <w:t xml:space="preserve">webinars run by the Canadian Cochrane Centre (covering broad EBM topics </w:t>
      </w:r>
      <w:r w:rsidR="00164438">
        <w:rPr>
          <w:lang w:val="en-US"/>
        </w:rPr>
        <w:t>as well as</w:t>
      </w:r>
      <w:r>
        <w:rPr>
          <w:lang w:val="en-US"/>
        </w:rPr>
        <w:t xml:space="preserve"> specific SR methods) now appear in the Collaboration’s events calendar and the recordings are linked from the </w:t>
      </w:r>
      <w:r w:rsidR="00164438">
        <w:rPr>
          <w:lang w:val="en-US"/>
        </w:rPr>
        <w:t xml:space="preserve">Cochrane </w:t>
      </w:r>
      <w:r>
        <w:rPr>
          <w:lang w:val="en-US"/>
        </w:rPr>
        <w:t xml:space="preserve">Training website </w:t>
      </w:r>
    </w:p>
    <w:p w:rsidR="0007573E" w:rsidRPr="0007573E" w:rsidRDefault="0007573E" w:rsidP="0007573E">
      <w:pPr>
        <w:numPr>
          <w:ilvl w:val="0"/>
          <w:numId w:val="23"/>
        </w:numPr>
        <w:spacing w:after="0"/>
        <w:ind w:left="714" w:hanging="357"/>
        <w:rPr>
          <w:lang w:val="en-US"/>
        </w:rPr>
      </w:pPr>
      <w:r>
        <w:rPr>
          <w:lang w:val="en-US"/>
        </w:rPr>
        <w:t xml:space="preserve">Cochrane Register of Studies team has been making extensive use of webinars </w:t>
      </w:r>
      <w:r w:rsidR="006E06D4">
        <w:rPr>
          <w:lang w:val="en-US"/>
        </w:rPr>
        <w:t xml:space="preserve">for </w:t>
      </w:r>
      <w:r>
        <w:rPr>
          <w:lang w:val="en-US"/>
        </w:rPr>
        <w:t xml:space="preserve">the roll out </w:t>
      </w:r>
      <w:r w:rsidR="006E06D4">
        <w:rPr>
          <w:lang w:val="en-US"/>
        </w:rPr>
        <w:t xml:space="preserve">and implementation </w:t>
      </w:r>
      <w:r>
        <w:rPr>
          <w:lang w:val="en-US"/>
        </w:rPr>
        <w:t>of CRS</w:t>
      </w:r>
      <w:r w:rsidR="00164438">
        <w:rPr>
          <w:lang w:val="en-US"/>
        </w:rPr>
        <w:t xml:space="preserve"> among TSCs and Centres</w:t>
      </w:r>
    </w:p>
    <w:p w:rsidR="00C14E20" w:rsidRPr="00E96657" w:rsidRDefault="006E06D4" w:rsidP="00C729D3">
      <w:pPr>
        <w:numPr>
          <w:ilvl w:val="0"/>
          <w:numId w:val="23"/>
        </w:numPr>
        <w:spacing w:after="0"/>
        <w:ind w:left="714" w:hanging="357"/>
      </w:pPr>
      <w:r>
        <w:t>an experienced Cochrane author, originally from Iran and Malaysia, but now based in Canada holds regular webinar classes for Iranian authors</w:t>
      </w:r>
    </w:p>
    <w:p w:rsidR="00C729D3" w:rsidRPr="00E96657" w:rsidRDefault="00601EF4" w:rsidP="00C729D3">
      <w:pPr>
        <w:numPr>
          <w:ilvl w:val="0"/>
          <w:numId w:val="23"/>
        </w:numPr>
        <w:spacing w:after="0"/>
        <w:ind w:left="714" w:hanging="357"/>
      </w:pPr>
      <w:r w:rsidRPr="00E96657">
        <w:t>plan to engage with the Author Forum</w:t>
      </w:r>
      <w:r w:rsidR="006E06D4">
        <w:t xml:space="preserve">, </w:t>
      </w:r>
      <w:r w:rsidRPr="00E96657">
        <w:t>entity Execs</w:t>
      </w:r>
      <w:r w:rsidR="006E06D4">
        <w:t xml:space="preserve"> and the new ME Support Manager </w:t>
      </w:r>
      <w:r w:rsidRPr="00E96657">
        <w:t>to ensure specific training needs are addressed</w:t>
      </w:r>
      <w:r w:rsidR="00466100">
        <w:t>; discussions underway with CEU in relation to MECIR implementation and several Methods Groups about converting their workshops into webinars</w:t>
      </w:r>
    </w:p>
    <w:p w:rsidR="00C14E20" w:rsidRPr="00E96657" w:rsidRDefault="00C14E20" w:rsidP="00C14E20">
      <w:pPr>
        <w:spacing w:after="0"/>
      </w:pPr>
    </w:p>
    <w:p w:rsidR="00C14E20" w:rsidRPr="00E96657" w:rsidRDefault="00C14E20" w:rsidP="00C14E20">
      <w:pPr>
        <w:numPr>
          <w:ilvl w:val="0"/>
          <w:numId w:val="21"/>
        </w:numPr>
        <w:spacing w:after="0"/>
        <w:rPr>
          <w:b/>
        </w:rPr>
      </w:pPr>
      <w:r w:rsidRPr="00E96657">
        <w:rPr>
          <w:b/>
        </w:rPr>
        <w:t>RevMan videos</w:t>
      </w:r>
    </w:p>
    <w:p w:rsidR="0090737B" w:rsidRDefault="005B5807" w:rsidP="0063166B">
      <w:pPr>
        <w:numPr>
          <w:ilvl w:val="0"/>
          <w:numId w:val="23"/>
        </w:numPr>
        <w:spacing w:after="0"/>
      </w:pPr>
      <w:r w:rsidRPr="00E96657">
        <w:t>Training Co-ordinator and Australasian C</w:t>
      </w:r>
      <w:r w:rsidR="009B16DC">
        <w:t xml:space="preserve">ochrane </w:t>
      </w:r>
      <w:r w:rsidRPr="00E96657">
        <w:t>C</w:t>
      </w:r>
      <w:r w:rsidR="009B16DC">
        <w:t>entre</w:t>
      </w:r>
      <w:r w:rsidRPr="00E96657">
        <w:t xml:space="preserve"> </w:t>
      </w:r>
      <w:r w:rsidR="0063166B">
        <w:t xml:space="preserve">responsible for developing </w:t>
      </w:r>
      <w:r w:rsidR="0063166B" w:rsidRPr="00E96657">
        <w:t>‘how to’ screen capture demos</w:t>
      </w:r>
      <w:r w:rsidR="0063166B">
        <w:t xml:space="preserve">; had hoped to record the first of these by now but is a priority for next six months; South Asian Cochrane Centre keen to </w:t>
      </w:r>
      <w:r w:rsidR="009B16DC">
        <w:t>be involved</w:t>
      </w:r>
    </w:p>
    <w:p w:rsidR="0063166B" w:rsidRPr="00E96657" w:rsidRDefault="0063166B" w:rsidP="0063166B">
      <w:pPr>
        <w:spacing w:after="0"/>
        <w:ind w:left="720"/>
      </w:pPr>
    </w:p>
    <w:p w:rsidR="00C729D3" w:rsidRPr="00E96657" w:rsidRDefault="00C729D3" w:rsidP="00F93FC3">
      <w:pPr>
        <w:numPr>
          <w:ilvl w:val="0"/>
          <w:numId w:val="21"/>
        </w:numPr>
        <w:spacing w:after="0"/>
        <w:ind w:left="357" w:hanging="357"/>
        <w:rPr>
          <w:b/>
        </w:rPr>
      </w:pPr>
      <w:r w:rsidRPr="00E96657">
        <w:rPr>
          <w:b/>
        </w:rPr>
        <w:lastRenderedPageBreak/>
        <w:t>Training for DTA Reviews</w:t>
      </w:r>
    </w:p>
    <w:p w:rsidR="009B16DC" w:rsidRPr="00E96657" w:rsidRDefault="00704FDA" w:rsidP="009B16DC">
      <w:pPr>
        <w:numPr>
          <w:ilvl w:val="0"/>
          <w:numId w:val="23"/>
        </w:numPr>
        <w:spacing w:after="0"/>
        <w:ind w:left="714" w:hanging="357"/>
      </w:pPr>
      <w:r>
        <w:t xml:space="preserve">UK Support Unit providing </w:t>
      </w:r>
      <w:r w:rsidR="007A5C00">
        <w:t xml:space="preserve">four one-day </w:t>
      </w:r>
      <w:r w:rsidR="009B16DC">
        <w:t xml:space="preserve">training </w:t>
      </w:r>
      <w:r w:rsidR="007A5C00">
        <w:t>modules in Birmingham (Sep-Nov 2012); awaiting likely model for training outside of the UK</w:t>
      </w:r>
      <w:r w:rsidR="009B16DC">
        <w:t xml:space="preserve">; once this happens the </w:t>
      </w:r>
      <w:r w:rsidR="009B16DC" w:rsidRPr="00E96657">
        <w:t xml:space="preserve">DTA Strategy Group </w:t>
      </w:r>
      <w:r w:rsidR="009B16DC">
        <w:t>in partnership with Cochrane Training can</w:t>
      </w:r>
      <w:r w:rsidR="009B16DC" w:rsidRPr="00E96657">
        <w:t xml:space="preserve"> consider </w:t>
      </w:r>
      <w:r w:rsidR="007A5C00">
        <w:t>the options for</w:t>
      </w:r>
      <w:r w:rsidR="009B16DC" w:rsidRPr="00E96657">
        <w:t xml:space="preserve"> implementing DTA training across the Collaboration</w:t>
      </w:r>
    </w:p>
    <w:p w:rsidR="00E17268" w:rsidRPr="00E96657" w:rsidRDefault="009B16DC" w:rsidP="00E17268">
      <w:pPr>
        <w:numPr>
          <w:ilvl w:val="0"/>
          <w:numId w:val="23"/>
        </w:numPr>
        <w:spacing w:after="0"/>
        <w:ind w:left="714" w:hanging="357"/>
      </w:pPr>
      <w:r>
        <w:t xml:space="preserve">Cochrane Training supports </w:t>
      </w:r>
      <w:r w:rsidR="00FC246C" w:rsidRPr="00E96657">
        <w:t xml:space="preserve">the </w:t>
      </w:r>
      <w:r w:rsidR="00E17268" w:rsidRPr="00E96657">
        <w:t xml:space="preserve">annual workshop on developing a DTA </w:t>
      </w:r>
      <w:r>
        <w:t xml:space="preserve">review </w:t>
      </w:r>
      <w:r w:rsidR="00FC246C" w:rsidRPr="00E96657">
        <w:t xml:space="preserve">which </w:t>
      </w:r>
      <w:r w:rsidR="00E17268" w:rsidRPr="00E96657">
        <w:t xml:space="preserve">will </w:t>
      </w:r>
      <w:r>
        <w:t xml:space="preserve">take place in </w:t>
      </w:r>
      <w:r w:rsidR="00164438">
        <w:t xml:space="preserve">Amsterdam in </w:t>
      </w:r>
      <w:r>
        <w:t xml:space="preserve">December 2012, </w:t>
      </w:r>
      <w:r w:rsidR="00E17268" w:rsidRPr="00E96657">
        <w:t>hosted by the Dut</w:t>
      </w:r>
      <w:r w:rsidR="00164438">
        <w:t>ch Cochrane Centre</w:t>
      </w:r>
    </w:p>
    <w:p w:rsidR="00A95180" w:rsidRPr="00E96657" w:rsidRDefault="00A95180" w:rsidP="0056017D">
      <w:pPr>
        <w:spacing w:after="120"/>
      </w:pPr>
    </w:p>
    <w:p w:rsidR="0056017D" w:rsidRPr="00E96657" w:rsidRDefault="0056017D" w:rsidP="0056017D">
      <w:pPr>
        <w:spacing w:after="120"/>
        <w:rPr>
          <w:b/>
        </w:rPr>
      </w:pPr>
      <w:r w:rsidRPr="00E96657">
        <w:rPr>
          <w:b/>
        </w:rPr>
        <w:t>EDITING REVIEWS</w:t>
      </w:r>
    </w:p>
    <w:p w:rsidR="0056017D" w:rsidRPr="00F47232" w:rsidRDefault="0056017D" w:rsidP="0056017D">
      <w:pPr>
        <w:numPr>
          <w:ilvl w:val="0"/>
          <w:numId w:val="21"/>
        </w:numPr>
        <w:spacing w:after="0"/>
        <w:rPr>
          <w:b/>
        </w:rPr>
      </w:pPr>
      <w:r w:rsidRPr="00F47232">
        <w:rPr>
          <w:b/>
        </w:rPr>
        <w:t>Training for editors</w:t>
      </w:r>
      <w:r w:rsidR="00F47232">
        <w:rPr>
          <w:b/>
        </w:rPr>
        <w:t xml:space="preserve"> </w:t>
      </w:r>
      <w:r w:rsidR="00F47232" w:rsidRPr="00EC6585">
        <w:rPr>
          <w:i/>
        </w:rPr>
        <w:t>(</w:t>
      </w:r>
      <w:r w:rsidR="00EC6585">
        <w:rPr>
          <w:i/>
        </w:rPr>
        <w:t xml:space="preserve">note: </w:t>
      </w:r>
      <w:r w:rsidR="00F47232" w:rsidRPr="00EC6585">
        <w:rPr>
          <w:i/>
        </w:rPr>
        <w:t>unchanged since previous report)</w:t>
      </w:r>
    </w:p>
    <w:p w:rsidR="0056017D" w:rsidRPr="00E96657" w:rsidRDefault="0056017D" w:rsidP="0056017D">
      <w:pPr>
        <w:numPr>
          <w:ilvl w:val="0"/>
          <w:numId w:val="23"/>
        </w:numPr>
        <w:spacing w:after="0"/>
      </w:pPr>
      <w:r w:rsidRPr="00E96657">
        <w:t xml:space="preserve">Training Co-ordinator and the Australasian Cochrane Centre are developing a more detailed understanding of the training needs of editors, including MEs, CoEds, content and contact editors, statistical </w:t>
      </w:r>
      <w:r w:rsidR="00650329" w:rsidRPr="00E96657">
        <w:t>e</w:t>
      </w:r>
      <w:r w:rsidRPr="00E96657">
        <w:t>ditors, peer referees and copy editors</w:t>
      </w:r>
    </w:p>
    <w:p w:rsidR="0056017D" w:rsidRPr="00E96657" w:rsidRDefault="0056017D" w:rsidP="0056017D">
      <w:pPr>
        <w:numPr>
          <w:ilvl w:val="0"/>
          <w:numId w:val="23"/>
        </w:numPr>
        <w:spacing w:after="0"/>
      </w:pPr>
      <w:r w:rsidRPr="00E96657">
        <w:t>an informal meeting was held in Melbourne in December 2011 with a group of Australian editors to explore practical training proposals; this meeting identified:</w:t>
      </w:r>
    </w:p>
    <w:p w:rsidR="0056017D" w:rsidRPr="00E96657" w:rsidRDefault="0056017D" w:rsidP="0056017D">
      <w:pPr>
        <w:numPr>
          <w:ilvl w:val="1"/>
          <w:numId w:val="23"/>
        </w:numPr>
        <w:spacing w:after="0"/>
      </w:pPr>
      <w:r w:rsidRPr="00E96657">
        <w:t xml:space="preserve">emphasis on </w:t>
      </w:r>
      <w:r w:rsidR="00650329" w:rsidRPr="00E96657">
        <w:t xml:space="preserve">short, </w:t>
      </w:r>
      <w:r w:rsidRPr="00E96657">
        <w:t>modular, online training options addressing practical issues commonly encountered by editors, often overlapping with issues for authors</w:t>
      </w:r>
    </w:p>
    <w:p w:rsidR="0056017D" w:rsidRPr="00E96657" w:rsidRDefault="0056017D" w:rsidP="0056017D">
      <w:pPr>
        <w:numPr>
          <w:ilvl w:val="1"/>
          <w:numId w:val="23"/>
        </w:numPr>
        <w:spacing w:after="0"/>
      </w:pPr>
      <w:r w:rsidRPr="00E96657">
        <w:t>availability of good practice and poor practice examples to demonstrate issues</w:t>
      </w:r>
    </w:p>
    <w:p w:rsidR="0056017D" w:rsidRPr="00E96657" w:rsidRDefault="0056017D" w:rsidP="0056017D">
      <w:pPr>
        <w:numPr>
          <w:ilvl w:val="1"/>
          <w:numId w:val="23"/>
        </w:numPr>
        <w:spacing w:after="0"/>
      </w:pPr>
      <w:r w:rsidRPr="00E96657">
        <w:t>importance of the ME mentoring and support scheme</w:t>
      </w:r>
    </w:p>
    <w:p w:rsidR="000E7D97" w:rsidRDefault="00650329" w:rsidP="00650329">
      <w:pPr>
        <w:numPr>
          <w:ilvl w:val="0"/>
          <w:numId w:val="23"/>
        </w:numPr>
        <w:spacing w:after="0"/>
      </w:pPr>
      <w:r w:rsidRPr="00E96657">
        <w:t>following some furthe</w:t>
      </w:r>
      <w:r w:rsidR="00F47232">
        <w:t>r consultation, we will draw up</w:t>
      </w:r>
      <w:r w:rsidRPr="00E96657">
        <w:t xml:space="preserve"> a detailed outline of the required training resources and plan to start this after the Paris meetings</w:t>
      </w:r>
    </w:p>
    <w:p w:rsidR="000E7D97" w:rsidRPr="00E96657" w:rsidRDefault="000E7D97" w:rsidP="00650329">
      <w:pPr>
        <w:spacing w:after="0"/>
      </w:pPr>
    </w:p>
    <w:p w:rsidR="00650329" w:rsidRPr="00E96657" w:rsidRDefault="00650329" w:rsidP="00650329">
      <w:pPr>
        <w:numPr>
          <w:ilvl w:val="0"/>
          <w:numId w:val="21"/>
        </w:numPr>
        <w:spacing w:after="0"/>
        <w:rPr>
          <w:b/>
        </w:rPr>
      </w:pPr>
      <w:r w:rsidRPr="00E96657">
        <w:rPr>
          <w:b/>
        </w:rPr>
        <w:t>Copy Edit Support</w:t>
      </w:r>
      <w:r w:rsidR="00B75007" w:rsidRPr="00E96657">
        <w:rPr>
          <w:b/>
        </w:rPr>
        <w:t xml:space="preserve"> (CES)</w:t>
      </w:r>
    </w:p>
    <w:p w:rsidR="00B75007" w:rsidRPr="00E96657" w:rsidRDefault="0050608D" w:rsidP="00B75007">
      <w:pPr>
        <w:numPr>
          <w:ilvl w:val="0"/>
          <w:numId w:val="23"/>
        </w:numPr>
        <w:spacing w:after="0"/>
      </w:pPr>
      <w:r w:rsidRPr="00E96657">
        <w:t>as CES currently falls within the responsibility of Wiley Blackwell, no further activities to support CES are planned by the TWG</w:t>
      </w:r>
    </w:p>
    <w:p w:rsidR="0050608D" w:rsidRPr="00E96657" w:rsidRDefault="0050608D" w:rsidP="0050608D">
      <w:pPr>
        <w:spacing w:after="0"/>
        <w:ind w:left="720"/>
      </w:pPr>
    </w:p>
    <w:p w:rsidR="00B75007" w:rsidRPr="00E96657" w:rsidRDefault="00B75007" w:rsidP="00B75007">
      <w:r w:rsidRPr="00A23E33">
        <w:rPr>
          <w:b/>
        </w:rPr>
        <w:t>CONSUMERS</w:t>
      </w:r>
      <w:r w:rsidR="00CD3A2C">
        <w:rPr>
          <w:b/>
        </w:rPr>
        <w:t xml:space="preserve"> </w:t>
      </w:r>
    </w:p>
    <w:p w:rsidR="00265A9A" w:rsidRPr="00E96657" w:rsidRDefault="00B75007" w:rsidP="00A81910">
      <w:pPr>
        <w:ind w:left="357"/>
      </w:pPr>
      <w:r w:rsidRPr="00E96657">
        <w:t xml:space="preserve">Cochrane Consumer Co-ordinator, Catherine McIlwain, is currently leading the development of discrete proposals to address the training needs of consumers </w:t>
      </w:r>
      <w:r w:rsidR="00265A9A" w:rsidRPr="00E96657">
        <w:t xml:space="preserve">and those involved in writing plain language summaries. These projects </w:t>
      </w:r>
      <w:r w:rsidR="00882460">
        <w:t xml:space="preserve">will be included in the next round of funding proposals to be submitted for the mid-year meeting in Oxford. </w:t>
      </w:r>
    </w:p>
    <w:p w:rsidR="00265A9A" w:rsidRPr="00E96657" w:rsidRDefault="00265A9A" w:rsidP="00F93FC3">
      <w:pPr>
        <w:numPr>
          <w:ilvl w:val="0"/>
          <w:numId w:val="21"/>
        </w:numPr>
        <w:spacing w:after="0"/>
        <w:ind w:left="357" w:hanging="357"/>
        <w:rPr>
          <w:b/>
        </w:rPr>
      </w:pPr>
      <w:r w:rsidRPr="00E96657">
        <w:rPr>
          <w:b/>
        </w:rPr>
        <w:t>Consumer referees</w:t>
      </w:r>
    </w:p>
    <w:p w:rsidR="008D2AFA" w:rsidRPr="00E96657" w:rsidRDefault="008D2AFA" w:rsidP="00FC246C">
      <w:pPr>
        <w:numPr>
          <w:ilvl w:val="0"/>
          <w:numId w:val="23"/>
        </w:numPr>
        <w:spacing w:after="0"/>
        <w:ind w:left="714" w:hanging="357"/>
      </w:pPr>
      <w:r w:rsidRPr="00E96657">
        <w:t>proposal for</w:t>
      </w:r>
      <w:r w:rsidR="00265A9A" w:rsidRPr="00E96657">
        <w:t xml:space="preserve"> a formal training </w:t>
      </w:r>
      <w:r w:rsidR="006B5759">
        <w:t>programme</w:t>
      </w:r>
      <w:r w:rsidR="00265A9A" w:rsidRPr="00E96657">
        <w:t xml:space="preserve"> for consumer referees through a five-tier suite of materials that </w:t>
      </w:r>
      <w:r w:rsidRPr="00E96657">
        <w:t xml:space="preserve">will </w:t>
      </w:r>
      <w:r w:rsidR="00265A9A" w:rsidRPr="00E96657">
        <w:t xml:space="preserve">progressively enable consumers:  to understand evidence-based </w:t>
      </w:r>
      <w:r w:rsidRPr="00E96657">
        <w:t>health care</w:t>
      </w:r>
      <w:r w:rsidR="00265A9A" w:rsidRPr="00E96657">
        <w:t xml:space="preserve"> and systematic reviews (tier 1); to comment on </w:t>
      </w:r>
      <w:r w:rsidRPr="00E96657">
        <w:t>plain language summaries</w:t>
      </w:r>
      <w:r w:rsidR="00265A9A" w:rsidRPr="00E96657">
        <w:t xml:space="preserve"> (tier 2); to comment on protocols and reviews (tier 3); to create a </w:t>
      </w:r>
      <w:r w:rsidRPr="00E96657">
        <w:t>‘</w:t>
      </w:r>
      <w:r w:rsidR="00265A9A" w:rsidRPr="00E96657">
        <w:t>buddy system</w:t>
      </w:r>
      <w:r w:rsidRPr="00E96657">
        <w:t>’</w:t>
      </w:r>
      <w:r w:rsidR="00265A9A" w:rsidRPr="00E96657">
        <w:t xml:space="preserve"> for consumer referees by training experienced consumer referees to mentor new consumer referees (tier 4); and to train experienced consumer referees to manage panels of consumer referees</w:t>
      </w:r>
      <w:r w:rsidRPr="00E96657">
        <w:t xml:space="preserve"> </w:t>
      </w:r>
    </w:p>
    <w:p w:rsidR="00B75007" w:rsidRPr="00E96657" w:rsidRDefault="00882460" w:rsidP="00FC246C">
      <w:pPr>
        <w:numPr>
          <w:ilvl w:val="0"/>
          <w:numId w:val="23"/>
        </w:numPr>
        <w:spacing w:after="0"/>
        <w:ind w:left="714" w:hanging="357"/>
      </w:pPr>
      <w:r>
        <w:t>the training tools could</w:t>
      </w:r>
      <w:r w:rsidR="008D2AFA" w:rsidRPr="00E96657">
        <w:t xml:space="preserve"> be dev</w:t>
      </w:r>
      <w:r>
        <w:t>eloped using Articulate and</w:t>
      </w:r>
      <w:r w:rsidR="008D2AFA" w:rsidRPr="00E96657">
        <w:t xml:space="preserve"> contain video excerpts, visual demonstrations and interactive questions</w:t>
      </w:r>
    </w:p>
    <w:p w:rsidR="00FC246C" w:rsidRPr="00E96657" w:rsidRDefault="00FC246C" w:rsidP="00FC246C">
      <w:pPr>
        <w:spacing w:after="0"/>
        <w:ind w:left="357"/>
      </w:pPr>
    </w:p>
    <w:p w:rsidR="008D2AFA" w:rsidRPr="00E96657" w:rsidRDefault="004E78D7" w:rsidP="00F93FC3">
      <w:pPr>
        <w:numPr>
          <w:ilvl w:val="0"/>
          <w:numId w:val="21"/>
        </w:numPr>
        <w:spacing w:after="0"/>
        <w:ind w:left="357" w:hanging="357"/>
        <w:rPr>
          <w:b/>
        </w:rPr>
      </w:pPr>
      <w:r w:rsidRPr="00E96657">
        <w:rPr>
          <w:b/>
        </w:rPr>
        <w:t>P</w:t>
      </w:r>
      <w:r w:rsidR="008D2AFA" w:rsidRPr="00E96657">
        <w:rPr>
          <w:b/>
        </w:rPr>
        <w:t>lain language summaries</w:t>
      </w:r>
    </w:p>
    <w:p w:rsidR="004E78D7" w:rsidRPr="00E96657" w:rsidRDefault="004E78D7" w:rsidP="00FC246C">
      <w:pPr>
        <w:numPr>
          <w:ilvl w:val="0"/>
          <w:numId w:val="23"/>
        </w:numPr>
        <w:spacing w:after="0"/>
        <w:ind w:left="714" w:hanging="357"/>
      </w:pPr>
      <w:r w:rsidRPr="00E96657">
        <w:lastRenderedPageBreak/>
        <w:t xml:space="preserve">proposal for </w:t>
      </w:r>
      <w:r w:rsidR="008D2AFA" w:rsidRPr="00E96657">
        <w:t xml:space="preserve">a training </w:t>
      </w:r>
      <w:r w:rsidR="006B5759">
        <w:t>programme</w:t>
      </w:r>
      <w:r w:rsidR="008D2AFA" w:rsidRPr="00E96657">
        <w:t xml:space="preserve"> for authors and consumers to improve the quality of plain language summaries through better recognition of and use of plain language techniques</w:t>
      </w:r>
    </w:p>
    <w:p w:rsidR="004E78D7" w:rsidRPr="00E96657" w:rsidRDefault="004E78D7" w:rsidP="00FC246C">
      <w:pPr>
        <w:numPr>
          <w:ilvl w:val="0"/>
          <w:numId w:val="23"/>
        </w:numPr>
        <w:spacing w:after="0"/>
        <w:ind w:left="714" w:hanging="357"/>
      </w:pPr>
      <w:r w:rsidRPr="00E96657">
        <w:t>existing materials will be converted into interactive formats for online access and enhanced by additional worked examples and practical exercises based on hypothetical and exemplar materials; training will incorporate the MECIR standards and recommendations of the PLEACS group (plain language expectations of authors)</w:t>
      </w:r>
    </w:p>
    <w:p w:rsidR="00FC246C" w:rsidRPr="00E96657" w:rsidRDefault="00FC246C" w:rsidP="00FC246C">
      <w:pPr>
        <w:spacing w:after="0"/>
      </w:pPr>
    </w:p>
    <w:p w:rsidR="0050608D" w:rsidRPr="00E96657" w:rsidRDefault="00FC246C" w:rsidP="0050608D">
      <w:r w:rsidRPr="00E96657">
        <w:rPr>
          <w:b/>
        </w:rPr>
        <w:t>MENTORING &amp; SUPPORT SCHEMES</w:t>
      </w:r>
    </w:p>
    <w:p w:rsidR="00F93FC3" w:rsidRPr="00E96657" w:rsidRDefault="00F93FC3" w:rsidP="00F93FC3">
      <w:pPr>
        <w:numPr>
          <w:ilvl w:val="0"/>
          <w:numId w:val="21"/>
        </w:numPr>
        <w:spacing w:after="0"/>
        <w:ind w:left="357" w:hanging="357"/>
        <w:rPr>
          <w:b/>
        </w:rPr>
      </w:pPr>
      <w:r w:rsidRPr="00E96657">
        <w:rPr>
          <w:b/>
        </w:rPr>
        <w:t>Managing Editors, TSCs and Fields</w:t>
      </w:r>
    </w:p>
    <w:p w:rsidR="008F044A" w:rsidRDefault="008F044A" w:rsidP="00F14C56">
      <w:pPr>
        <w:numPr>
          <w:ilvl w:val="0"/>
          <w:numId w:val="23"/>
        </w:numPr>
        <w:spacing w:after="0"/>
        <w:ind w:left="714" w:hanging="357"/>
      </w:pPr>
      <w:r w:rsidRPr="00E96657">
        <w:t xml:space="preserve">ME Support Manager </w:t>
      </w:r>
      <w:r>
        <w:t xml:space="preserve">and regional ME Support Person posts come into effect from beginning of October 2012 (replacing IMS Support); this initiative will </w:t>
      </w:r>
      <w:r w:rsidRPr="00E96657">
        <w:t xml:space="preserve">provide both induction training to new MEs as well as ongoing training and support to </w:t>
      </w:r>
      <w:r>
        <w:t xml:space="preserve">existing </w:t>
      </w:r>
      <w:r w:rsidRPr="00E96657">
        <w:t>MEs in all aspects of their role within a CRG</w:t>
      </w:r>
      <w:r>
        <w:t xml:space="preserve">; </w:t>
      </w:r>
      <w:r w:rsidR="00882460">
        <w:t>there is a need to ensure</w:t>
      </w:r>
      <w:r>
        <w:t xml:space="preserve"> good communication between the Training Co-ordinator</w:t>
      </w:r>
      <w:r w:rsidR="00164438">
        <w:t>(</w:t>
      </w:r>
      <w:r>
        <w:t>s</w:t>
      </w:r>
      <w:r w:rsidR="00164438">
        <w:t>)</w:t>
      </w:r>
      <w:r>
        <w:t xml:space="preserve"> and ME Support team to avoid duplication</w:t>
      </w:r>
    </w:p>
    <w:p w:rsidR="00FB34ED" w:rsidRDefault="00F14C56" w:rsidP="00F14C56">
      <w:pPr>
        <w:numPr>
          <w:ilvl w:val="0"/>
          <w:numId w:val="23"/>
        </w:numPr>
        <w:spacing w:after="0"/>
        <w:ind w:left="714" w:hanging="357"/>
      </w:pPr>
      <w:r w:rsidRPr="00E96657">
        <w:t>TSCs</w:t>
      </w:r>
      <w:r w:rsidR="002D731D">
        <w:t>’ Induction and Mentoring Working Group</w:t>
      </w:r>
      <w:r w:rsidRPr="00E96657">
        <w:t xml:space="preserve"> </w:t>
      </w:r>
      <w:r w:rsidR="002D731D">
        <w:t xml:space="preserve">has completed </w:t>
      </w:r>
      <w:r w:rsidR="00C37D1B">
        <w:t xml:space="preserve">all </w:t>
      </w:r>
      <w:r w:rsidR="002D731D">
        <w:t>the documentation</w:t>
      </w:r>
      <w:r w:rsidRPr="00E96657">
        <w:t xml:space="preserve"> </w:t>
      </w:r>
      <w:r w:rsidR="00C37D1B">
        <w:t xml:space="preserve">associated with setting up the induction and mentoring </w:t>
      </w:r>
      <w:r w:rsidR="002D731D">
        <w:t xml:space="preserve">programme </w:t>
      </w:r>
      <w:r w:rsidR="00C37D1B">
        <w:t xml:space="preserve">(e.g. welcome </w:t>
      </w:r>
      <w:r w:rsidR="00164438">
        <w:t>pack</w:t>
      </w:r>
      <w:r w:rsidR="00C37D1B">
        <w:t xml:space="preserve">, induction checklist, training guide, evaluation forms); TSC mentors selected to cover three regions (UK, Australasia and Americas, Continental Europe); piloting is underway with first  successfully completed in May 2012 (Nursing Field) and three to be scheduled (Epilepsy, MS and STD groups); TSCs will evaluate pilot and make recommendations about their future training requirements </w:t>
      </w:r>
      <w:r w:rsidR="00164438">
        <w:t xml:space="preserve">and the model for this </w:t>
      </w:r>
      <w:r w:rsidR="00FB34ED">
        <w:t>in time for the mid-year meeting in Oxford</w:t>
      </w:r>
    </w:p>
    <w:p w:rsidR="00F93FC3" w:rsidRDefault="0032630D" w:rsidP="00F14C56">
      <w:pPr>
        <w:numPr>
          <w:ilvl w:val="0"/>
          <w:numId w:val="23"/>
        </w:numPr>
        <w:spacing w:after="0"/>
        <w:ind w:left="714" w:hanging="357"/>
      </w:pPr>
      <w:r>
        <w:t>Fields’ Exec has</w:t>
      </w:r>
      <w:r w:rsidR="00882460">
        <w:t xml:space="preserve"> developed a range of training materials to support new and proposed Fields; this follows a revision of the core functions of Fields and generic position descriptions of Field Director and Field Co-ordinator; due to the small number of Fields and their geographic spread, the Fields’ Exec is putting in place measure to promote a sense of community among Fields and improve the connections between Fields and the rest of the Collaboration; up-coming meetings are being used to provide in-person mentoring to current Fields, e.g. members of Fields Exec have organised training for the Primary Care Field following Auckland Colloquium, the Health Care of Older People Field following the mid-year meeting</w:t>
      </w:r>
      <w:r w:rsidR="00164438">
        <w:t>s</w:t>
      </w:r>
      <w:r w:rsidR="00882460">
        <w:t xml:space="preserve"> in Oxford, and the Justice Health Field to coincide with a meeting in Washington next May</w:t>
      </w:r>
    </w:p>
    <w:p w:rsidR="00F2666D" w:rsidRPr="00E96657" w:rsidRDefault="00F2666D" w:rsidP="00F14C56">
      <w:pPr>
        <w:numPr>
          <w:ilvl w:val="0"/>
          <w:numId w:val="23"/>
        </w:numPr>
        <w:spacing w:after="0"/>
        <w:ind w:left="714" w:hanging="357"/>
      </w:pPr>
      <w:r>
        <w:t>the end of IMS Support has implications for training and support of staff from non-CRG entities; the IMS team are aware of this and al</w:t>
      </w:r>
      <w:r w:rsidR="00733B06">
        <w:t>ternative arrangements will be announce</w:t>
      </w:r>
      <w:r>
        <w:t>d in the next few months</w:t>
      </w:r>
    </w:p>
    <w:p w:rsidR="00F14C56" w:rsidRPr="00E96657" w:rsidRDefault="00F14C56" w:rsidP="00F14C56">
      <w:pPr>
        <w:spacing w:after="0"/>
      </w:pPr>
    </w:p>
    <w:p w:rsidR="003F10AA" w:rsidRPr="000A3F19" w:rsidRDefault="003F10AA" w:rsidP="00D8155A">
      <w:pPr>
        <w:numPr>
          <w:ilvl w:val="0"/>
          <w:numId w:val="21"/>
        </w:numPr>
        <w:spacing w:after="0"/>
        <w:ind w:left="357" w:hanging="357"/>
      </w:pPr>
      <w:r w:rsidRPr="000A3F19">
        <w:rPr>
          <w:b/>
        </w:rPr>
        <w:t>Author mentoring</w:t>
      </w:r>
    </w:p>
    <w:p w:rsidR="005E2C32" w:rsidRPr="00E96657" w:rsidRDefault="00A81910" w:rsidP="00D8155A">
      <w:pPr>
        <w:numPr>
          <w:ilvl w:val="0"/>
          <w:numId w:val="23"/>
        </w:numPr>
        <w:spacing w:after="0"/>
        <w:ind w:left="714" w:hanging="357"/>
      </w:pPr>
      <w:r w:rsidRPr="00E96657">
        <w:t>Mentoring Working Group</w:t>
      </w:r>
      <w:r w:rsidR="005E2C32" w:rsidRPr="00E96657">
        <w:t>, led by Mona Nasser, is a joint initiative of the Author Forum and Cochrane Training; its principal aim is to develop practical strategies to promote and support author mentoring as a component of the Collaboration’s learning and development initiative</w:t>
      </w:r>
    </w:p>
    <w:p w:rsidR="005E2C32" w:rsidRPr="00E96657" w:rsidRDefault="005E2C32" w:rsidP="00D8155A">
      <w:pPr>
        <w:numPr>
          <w:ilvl w:val="0"/>
          <w:numId w:val="23"/>
        </w:numPr>
        <w:spacing w:after="0"/>
        <w:ind w:left="714" w:hanging="357"/>
      </w:pPr>
      <w:r w:rsidRPr="00E96657">
        <w:t xml:space="preserve">the working group </w:t>
      </w:r>
      <w:r w:rsidR="000A3F19">
        <w:t>held a Skype call in June to agree its terms of reference, to discuss its plan</w:t>
      </w:r>
      <w:r w:rsidRPr="00E96657">
        <w:t xml:space="preserve"> to conduct a survey of Collaboration members and entities to identify the range of formal and informal author mentoring schemes currently in existence</w:t>
      </w:r>
      <w:r w:rsidR="000A3F19">
        <w:t>, and to agree timelines</w:t>
      </w:r>
    </w:p>
    <w:p w:rsidR="00E96657" w:rsidRDefault="00E96657" w:rsidP="00E96657">
      <w:pPr>
        <w:spacing w:after="0"/>
      </w:pPr>
    </w:p>
    <w:p w:rsidR="00E96657" w:rsidRPr="00E96657" w:rsidRDefault="00E96657" w:rsidP="00E96657">
      <w:pPr>
        <w:numPr>
          <w:ilvl w:val="0"/>
          <w:numId w:val="21"/>
        </w:numPr>
        <w:spacing w:after="0"/>
        <w:rPr>
          <w:b/>
        </w:rPr>
      </w:pPr>
      <w:r w:rsidRPr="00E96657">
        <w:rPr>
          <w:b/>
        </w:rPr>
        <w:t xml:space="preserve">Annual training </w:t>
      </w:r>
      <w:r>
        <w:rPr>
          <w:b/>
        </w:rPr>
        <w:t xml:space="preserve">event </w:t>
      </w:r>
      <w:r w:rsidRPr="00E96657">
        <w:rPr>
          <w:b/>
        </w:rPr>
        <w:t>for methodologists</w:t>
      </w:r>
    </w:p>
    <w:p w:rsidR="00D3615D" w:rsidRDefault="00E96657" w:rsidP="00E96657">
      <w:pPr>
        <w:numPr>
          <w:ilvl w:val="0"/>
          <w:numId w:val="23"/>
        </w:numPr>
        <w:spacing w:after="0"/>
      </w:pPr>
      <w:r w:rsidRPr="002A0FDE">
        <w:lastRenderedPageBreak/>
        <w:t xml:space="preserve">Risk of bias training event held in Loughborough in March </w:t>
      </w:r>
      <w:r w:rsidR="00D3615D">
        <w:t xml:space="preserve">2012 has been reported previously </w:t>
      </w:r>
    </w:p>
    <w:p w:rsidR="005E2C32" w:rsidRPr="00D3615D" w:rsidRDefault="00D3615D" w:rsidP="00D3615D">
      <w:pPr>
        <w:numPr>
          <w:ilvl w:val="0"/>
          <w:numId w:val="23"/>
        </w:numPr>
        <w:spacing w:after="0"/>
      </w:pPr>
      <w:r>
        <w:rPr>
          <w:lang w:val="en-US"/>
        </w:rPr>
        <w:t>2013 event, to take place alongside the mid-year meetings in Oxford in March, will focus on comparing multiple interventions; the</w:t>
      </w:r>
      <w:r w:rsidRPr="00D3615D">
        <w:rPr>
          <w:lang w:val="en-US"/>
        </w:rPr>
        <w:t xml:space="preserve"> three-day course </w:t>
      </w:r>
      <w:r>
        <w:rPr>
          <w:lang w:val="en-US"/>
        </w:rPr>
        <w:t>will provide training in doing</w:t>
      </w:r>
      <w:r w:rsidRPr="00D3615D">
        <w:rPr>
          <w:lang w:val="en-US"/>
        </w:rPr>
        <w:t xml:space="preserve"> indirect comparisons and network meta-analysis in Cochrane reviews that aim to compare multiple interventions</w:t>
      </w:r>
      <w:r>
        <w:rPr>
          <w:lang w:val="en-US"/>
        </w:rPr>
        <w:t>; o</w:t>
      </w:r>
      <w:r w:rsidRPr="00D3615D">
        <w:rPr>
          <w:lang w:val="en-US"/>
        </w:rPr>
        <w:t>ne day will be for a general audience, focusing on issues around concep</w:t>
      </w:r>
      <w:r>
        <w:rPr>
          <w:lang w:val="en-US"/>
        </w:rPr>
        <w:t>tualizing, initiating, managing</w:t>
      </w:r>
      <w:r w:rsidRPr="00D3615D">
        <w:rPr>
          <w:lang w:val="en-US"/>
        </w:rPr>
        <w:t xml:space="preserve"> and coordinati</w:t>
      </w:r>
      <w:r>
        <w:rPr>
          <w:lang w:val="en-US"/>
        </w:rPr>
        <w:t xml:space="preserve">ng such reviews; </w:t>
      </w:r>
      <w:r w:rsidRPr="00D3615D">
        <w:rPr>
          <w:lang w:val="en-US"/>
        </w:rPr>
        <w:t>two days will be for a statistical audience</w:t>
      </w:r>
      <w:r>
        <w:rPr>
          <w:lang w:val="en-US"/>
        </w:rPr>
        <w:t>; t</w:t>
      </w:r>
      <w:r w:rsidRPr="00D3615D">
        <w:rPr>
          <w:lang w:val="en-US"/>
        </w:rPr>
        <w:t xml:space="preserve">he workshop will provide support to editors as well as those wanting to </w:t>
      </w:r>
      <w:r>
        <w:rPr>
          <w:lang w:val="en-US"/>
        </w:rPr>
        <w:t>apply these methods in reviews</w:t>
      </w:r>
    </w:p>
    <w:p w:rsidR="00D3615D" w:rsidRPr="00E96657" w:rsidRDefault="00D3615D" w:rsidP="00D3615D">
      <w:pPr>
        <w:spacing w:after="0"/>
        <w:ind w:left="360"/>
      </w:pPr>
    </w:p>
    <w:p w:rsidR="003F10AA" w:rsidRPr="00E96657" w:rsidRDefault="003F10AA" w:rsidP="00D8155A">
      <w:pPr>
        <w:numPr>
          <w:ilvl w:val="0"/>
          <w:numId w:val="21"/>
        </w:numPr>
        <w:spacing w:after="0"/>
        <w:ind w:left="357" w:hanging="357"/>
        <w:rPr>
          <w:b/>
        </w:rPr>
      </w:pPr>
      <w:r w:rsidRPr="00E96657">
        <w:rPr>
          <w:b/>
        </w:rPr>
        <w:t>Engaging new contributors</w:t>
      </w:r>
    </w:p>
    <w:p w:rsidR="003F10AA" w:rsidRPr="00E96657" w:rsidRDefault="00D8155A" w:rsidP="00D8155A">
      <w:pPr>
        <w:numPr>
          <w:ilvl w:val="0"/>
          <w:numId w:val="23"/>
        </w:numPr>
        <w:spacing w:after="0"/>
        <w:ind w:left="714" w:hanging="357"/>
      </w:pPr>
      <w:r w:rsidRPr="00E96657">
        <w:t>a</w:t>
      </w:r>
      <w:r w:rsidR="003F10AA" w:rsidRPr="00E96657">
        <w:t>n identified priority of the Keystone proposal was to facilitate the productive engagement of newcomers to the collaboration</w:t>
      </w:r>
      <w:r w:rsidRPr="00E96657">
        <w:t>; a</w:t>
      </w:r>
      <w:r w:rsidR="003F10AA" w:rsidRPr="00E96657">
        <w:t xml:space="preserve"> working group </w:t>
      </w:r>
      <w:r w:rsidR="003A7262">
        <w:t>led by th</w:t>
      </w:r>
      <w:r w:rsidR="003F10AA" w:rsidRPr="00E96657">
        <w:t>e Cochrane Web Team</w:t>
      </w:r>
      <w:r w:rsidR="003A7262">
        <w:t xml:space="preserve"> and involving the Training Co-ordinator, </w:t>
      </w:r>
      <w:r w:rsidR="003F10AA" w:rsidRPr="00E96657">
        <w:t xml:space="preserve">Lorne Becker and others is currently </w:t>
      </w:r>
      <w:r w:rsidR="003A7262">
        <w:t>is i</w:t>
      </w:r>
      <w:r w:rsidR="003F10AA" w:rsidRPr="00E96657">
        <w:t>mprov</w:t>
      </w:r>
      <w:r w:rsidR="003A7262">
        <w:t>ing</w:t>
      </w:r>
      <w:r w:rsidR="003F10AA" w:rsidRPr="00E96657">
        <w:t xml:space="preserve"> the information and engagement pathways available to interested newcomers</w:t>
      </w:r>
    </w:p>
    <w:p w:rsidR="00D8155A" w:rsidRPr="00E96657" w:rsidRDefault="00D8155A" w:rsidP="00D8155A">
      <w:pPr>
        <w:spacing w:after="0"/>
      </w:pPr>
    </w:p>
    <w:p w:rsidR="00D974E6" w:rsidRPr="00E96657" w:rsidRDefault="00D974E6" w:rsidP="00072EFE">
      <w:pPr>
        <w:rPr>
          <w:b/>
        </w:rPr>
      </w:pPr>
      <w:r w:rsidRPr="00E96657">
        <w:rPr>
          <w:b/>
        </w:rPr>
        <w:t>TRAINING CO</w:t>
      </w:r>
      <w:r w:rsidR="00326696" w:rsidRPr="00E96657">
        <w:rPr>
          <w:b/>
        </w:rPr>
        <w:t>-</w:t>
      </w:r>
      <w:r w:rsidRPr="00E96657">
        <w:rPr>
          <w:b/>
        </w:rPr>
        <w:t>ORDINATION</w:t>
      </w:r>
    </w:p>
    <w:p w:rsidR="00D8155A" w:rsidRPr="00E96657" w:rsidRDefault="00D8155A" w:rsidP="00072EFE">
      <w:pPr>
        <w:numPr>
          <w:ilvl w:val="0"/>
          <w:numId w:val="21"/>
        </w:numPr>
        <w:spacing w:after="0"/>
        <w:ind w:left="357" w:hanging="357"/>
        <w:rPr>
          <w:b/>
        </w:rPr>
      </w:pPr>
      <w:r w:rsidRPr="00E96657">
        <w:rPr>
          <w:b/>
        </w:rPr>
        <w:t>Trainers’ Network</w:t>
      </w:r>
    </w:p>
    <w:p w:rsidR="00072EFE" w:rsidRPr="00E96657" w:rsidRDefault="00334DBC" w:rsidP="00072EFE">
      <w:pPr>
        <w:numPr>
          <w:ilvl w:val="0"/>
          <w:numId w:val="23"/>
        </w:numPr>
        <w:spacing w:after="0"/>
      </w:pPr>
      <w:r w:rsidRPr="00E96657">
        <w:t>the Network was launched in September 2011</w:t>
      </w:r>
      <w:r w:rsidR="001B18BD">
        <w:t xml:space="preserve"> and has over </w:t>
      </w:r>
      <w:r w:rsidR="00072EFE" w:rsidRPr="00E96657">
        <w:t>150 members; its purpose is to facilitate communication and peer support, promote the use of standard training materials, build capacity among trainers, and improve materials</w:t>
      </w:r>
    </w:p>
    <w:p w:rsidR="00072EFE" w:rsidRPr="00E96657" w:rsidRDefault="001B18BD" w:rsidP="00072EFE">
      <w:pPr>
        <w:numPr>
          <w:ilvl w:val="0"/>
          <w:numId w:val="23"/>
        </w:numPr>
        <w:spacing w:after="0"/>
      </w:pPr>
      <w:r>
        <w:t xml:space="preserve">a </w:t>
      </w:r>
      <w:r w:rsidR="00072EFE" w:rsidRPr="00E96657">
        <w:t>Trainers’ Network Bulletin</w:t>
      </w:r>
      <w:r>
        <w:t xml:space="preserve"> was sent out in June; a meeting of the Network has been scheduled for the Colloquium</w:t>
      </w:r>
      <w:r w:rsidR="00733B06">
        <w:t xml:space="preserve"> in Auckland</w:t>
      </w:r>
    </w:p>
    <w:p w:rsidR="00D8155A" w:rsidRPr="00E96657" w:rsidRDefault="00072EFE" w:rsidP="00072EFE">
      <w:pPr>
        <w:spacing w:after="0"/>
        <w:ind w:left="360"/>
      </w:pPr>
      <w:r w:rsidRPr="00E96657">
        <w:t xml:space="preserve"> </w:t>
      </w:r>
    </w:p>
    <w:p w:rsidR="003F10AA" w:rsidRPr="00E96657" w:rsidRDefault="003F10AA" w:rsidP="00D8155A">
      <w:pPr>
        <w:numPr>
          <w:ilvl w:val="0"/>
          <w:numId w:val="21"/>
        </w:numPr>
        <w:spacing w:after="0"/>
        <w:ind w:left="357" w:hanging="357"/>
        <w:rPr>
          <w:b/>
        </w:rPr>
      </w:pPr>
      <w:r w:rsidRPr="00E96657">
        <w:rPr>
          <w:b/>
        </w:rPr>
        <w:t xml:space="preserve">Cochrane </w:t>
      </w:r>
      <w:r w:rsidR="00D8155A" w:rsidRPr="00E96657">
        <w:rPr>
          <w:b/>
        </w:rPr>
        <w:t xml:space="preserve">Training </w:t>
      </w:r>
      <w:r w:rsidRPr="00E96657">
        <w:rPr>
          <w:b/>
        </w:rPr>
        <w:t xml:space="preserve">website </w:t>
      </w:r>
      <w:r w:rsidR="00D8155A" w:rsidRPr="00E96657">
        <w:rPr>
          <w:b/>
        </w:rPr>
        <w:t xml:space="preserve">and </w:t>
      </w:r>
      <w:r w:rsidRPr="00E96657">
        <w:rPr>
          <w:b/>
        </w:rPr>
        <w:t>portals</w:t>
      </w:r>
    </w:p>
    <w:p w:rsidR="00856676" w:rsidRDefault="00733B06" w:rsidP="00D8155A">
      <w:pPr>
        <w:numPr>
          <w:ilvl w:val="0"/>
          <w:numId w:val="23"/>
        </w:numPr>
        <w:spacing w:after="0"/>
        <w:ind w:left="714" w:hanging="357"/>
      </w:pPr>
      <w:r>
        <w:t>T</w:t>
      </w:r>
      <w:bookmarkStart w:id="0" w:name="_GoBack"/>
      <w:bookmarkEnd w:id="0"/>
      <w:r w:rsidR="00334DBC" w:rsidRPr="00E96657">
        <w:t>raining website is continually being u</w:t>
      </w:r>
      <w:r w:rsidR="00856676">
        <w:t xml:space="preserve">pdated with approved resources; particular effort </w:t>
      </w:r>
      <w:r w:rsidR="00FB0784">
        <w:t>is being</w:t>
      </w:r>
      <w:r w:rsidR="00856676">
        <w:t xml:space="preserve"> made to streamline information about events on cochrane.org</w:t>
      </w:r>
    </w:p>
    <w:p w:rsidR="00D8155A" w:rsidRPr="00E96657" w:rsidRDefault="00856676" w:rsidP="00D8155A">
      <w:pPr>
        <w:numPr>
          <w:ilvl w:val="0"/>
          <w:numId w:val="23"/>
        </w:numPr>
        <w:spacing w:after="0"/>
        <w:ind w:left="714" w:hanging="357"/>
      </w:pPr>
      <w:r>
        <w:t xml:space="preserve">following a </w:t>
      </w:r>
      <w:r w:rsidR="00334DBC" w:rsidRPr="00E96657">
        <w:t>meeting with the Web Team in Freiburg before the Paris meetings</w:t>
      </w:r>
      <w:r>
        <w:t>, a draft taxonomy has been created on the test site; the aim is to tag resources to make them more searchable; further testing and implementation of the taxonomy is planned for the next six months</w:t>
      </w:r>
    </w:p>
    <w:p w:rsidR="00FB0784" w:rsidRDefault="00D8155A" w:rsidP="00D8155A">
      <w:pPr>
        <w:numPr>
          <w:ilvl w:val="0"/>
          <w:numId w:val="23"/>
        </w:numPr>
        <w:spacing w:after="0"/>
        <w:ind w:left="714" w:hanging="357"/>
      </w:pPr>
      <w:r w:rsidRPr="00E96657">
        <w:t>l</w:t>
      </w:r>
      <w:r w:rsidR="003F10AA" w:rsidRPr="00E96657">
        <w:t>ed by the Cochrane Web Team, various constituency groups are currently working to develop online resource portals to be accessible through cochrane.org</w:t>
      </w:r>
      <w:r w:rsidR="00334DBC" w:rsidRPr="00E96657">
        <w:t xml:space="preserve"> and the training website</w:t>
      </w:r>
      <w:r w:rsidRPr="00E96657">
        <w:t xml:space="preserve">; </w:t>
      </w:r>
      <w:r w:rsidR="00FB0784">
        <w:t xml:space="preserve">for TSCs, a dedicated page of training resources has been drafted and reviewed by </w:t>
      </w:r>
      <w:r w:rsidR="00856676">
        <w:t>the TSCs Exec</w:t>
      </w:r>
      <w:r w:rsidR="00FB0784">
        <w:t xml:space="preserve"> and will be published when the TSC Portal on cochrane.org is ready</w:t>
      </w:r>
    </w:p>
    <w:p w:rsidR="00D8155A" w:rsidRPr="00E96657" w:rsidRDefault="00D8155A" w:rsidP="00D8155A">
      <w:pPr>
        <w:numPr>
          <w:ilvl w:val="0"/>
          <w:numId w:val="23"/>
        </w:numPr>
        <w:spacing w:after="0"/>
        <w:ind w:left="714" w:hanging="357"/>
      </w:pPr>
      <w:r w:rsidRPr="00E96657">
        <w:t xml:space="preserve">the consumers’ </w:t>
      </w:r>
      <w:r w:rsidR="00FB0784">
        <w:t xml:space="preserve">training </w:t>
      </w:r>
      <w:r w:rsidRPr="00E96657">
        <w:t xml:space="preserve">portal is at </w:t>
      </w:r>
      <w:hyperlink r:id="rId8" w:history="1">
        <w:r w:rsidRPr="00E96657">
          <w:rPr>
            <w:rStyle w:val="Hyperlink"/>
          </w:rPr>
          <w:t>http://training.cochrane.org/consumers</w:t>
        </w:r>
      </w:hyperlink>
      <w:r w:rsidR="001B18BD">
        <w:t>; an author portal is being developed by Mona Nasser with input from Web Team and Training Co-ordinator</w:t>
      </w:r>
    </w:p>
    <w:p w:rsidR="00D8155A" w:rsidRPr="00E96657" w:rsidRDefault="00D8155A" w:rsidP="00334DBC">
      <w:pPr>
        <w:spacing w:after="0"/>
      </w:pPr>
    </w:p>
    <w:p w:rsidR="003F10AA" w:rsidRPr="00E96657" w:rsidRDefault="003F10AA" w:rsidP="00334DBC">
      <w:pPr>
        <w:numPr>
          <w:ilvl w:val="0"/>
          <w:numId w:val="21"/>
        </w:numPr>
        <w:spacing w:after="0"/>
        <w:ind w:left="357" w:hanging="357"/>
        <w:rPr>
          <w:b/>
        </w:rPr>
      </w:pPr>
      <w:r w:rsidRPr="00E96657">
        <w:rPr>
          <w:b/>
        </w:rPr>
        <w:t>Translation</w:t>
      </w:r>
    </w:p>
    <w:p w:rsidR="00FA0C6A" w:rsidRPr="00CD3A2C" w:rsidRDefault="00334DBC" w:rsidP="00FA0C6A">
      <w:pPr>
        <w:numPr>
          <w:ilvl w:val="0"/>
          <w:numId w:val="23"/>
        </w:numPr>
        <w:spacing w:after="0"/>
        <w:ind w:left="714" w:hanging="357"/>
      </w:pPr>
      <w:proofErr w:type="gramStart"/>
      <w:r w:rsidRPr="00E96657">
        <w:t>a</w:t>
      </w:r>
      <w:proofErr w:type="gramEnd"/>
      <w:r w:rsidR="003F10AA" w:rsidRPr="00E96657">
        <w:t xml:space="preserve"> working group led by Lorne Becker is considering the Cochrane Collaboration’s approach to translations, focusing on </w:t>
      </w:r>
      <w:r w:rsidR="003F10AA" w:rsidRPr="00E96657">
        <w:rPr>
          <w:i/>
        </w:rPr>
        <w:t>The Cochrane Library</w:t>
      </w:r>
      <w:r w:rsidR="003F10AA" w:rsidRPr="00E96657">
        <w:t xml:space="preserve"> but also considering translation of other resources such as websites, the Cochrane Handbook and other training materials.</w:t>
      </w:r>
    </w:p>
    <w:sectPr w:rsidR="00FA0C6A" w:rsidRPr="00CD3A2C" w:rsidSect="002A7CEB">
      <w:headerReference w:type="default" r:id="rId9"/>
      <w:footerReference w:type="default" r:id="rId10"/>
      <w:pgSz w:w="11907" w:h="16839"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FDA" w:rsidRDefault="00704FDA" w:rsidP="005807F1">
      <w:pPr>
        <w:spacing w:after="0" w:line="240" w:lineRule="auto"/>
      </w:pPr>
      <w:r>
        <w:separator/>
      </w:r>
    </w:p>
  </w:endnote>
  <w:endnote w:type="continuationSeparator" w:id="0">
    <w:p w:rsidR="00704FDA" w:rsidRDefault="00704FDA" w:rsidP="005807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Zapf Dingbats">
    <w:altName w:val="ITC Zapf Dingbats"/>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FDA" w:rsidRPr="0010557F" w:rsidRDefault="00704FDA" w:rsidP="000B2A9C">
    <w:pPr>
      <w:pStyle w:val="Footer"/>
      <w:jc w:val="right"/>
      <w:rPr>
        <w:sz w:val="18"/>
      </w:rPr>
    </w:pPr>
  </w:p>
  <w:p w:rsidR="00704FDA" w:rsidRDefault="00704F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FDA" w:rsidRDefault="00704FDA" w:rsidP="005807F1">
      <w:pPr>
        <w:spacing w:after="0" w:line="240" w:lineRule="auto"/>
      </w:pPr>
      <w:r>
        <w:separator/>
      </w:r>
    </w:p>
  </w:footnote>
  <w:footnote w:type="continuationSeparator" w:id="0">
    <w:p w:rsidR="00704FDA" w:rsidRDefault="00704FDA" w:rsidP="005807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FDA" w:rsidRPr="004B3566" w:rsidRDefault="00DA1ACB" w:rsidP="004B3566">
    <w:pPr>
      <w:pStyle w:val="Header"/>
      <w:jc w:val="center"/>
    </w:pPr>
    <w:r>
      <w:t xml:space="preserve">Item 13 - </w:t>
    </w:r>
    <w:r w:rsidR="00704FDA" w:rsidRPr="004B3566">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7DE8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C67499"/>
    <w:multiLevelType w:val="hybridMultilevel"/>
    <w:tmpl w:val="5A70CD44"/>
    <w:lvl w:ilvl="0" w:tplc="3D3A5D86">
      <w:start w:val="1"/>
      <w:numFmt w:val="lowerLetter"/>
      <w:lvlText w:val="%1."/>
      <w:lvlJc w:val="left"/>
      <w:pPr>
        <w:ind w:left="360" w:hanging="360"/>
      </w:pPr>
      <w:rPr>
        <w:rFonts w:hint="default"/>
        <w:b/>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73D63E0"/>
    <w:multiLevelType w:val="hybridMultilevel"/>
    <w:tmpl w:val="B3B47006"/>
    <w:lvl w:ilvl="0" w:tplc="AD287D00">
      <w:start w:val="1"/>
      <w:numFmt w:val="bullet"/>
      <w:lvlText w:val=""/>
      <w:lvlJc w:val="left"/>
      <w:pPr>
        <w:ind w:left="360" w:hanging="360"/>
      </w:pPr>
      <w:rPr>
        <w:rFonts w:ascii="Symbol" w:hAnsi="Symbol" w:hint="default"/>
        <w:sz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AA62905"/>
    <w:multiLevelType w:val="hybridMultilevel"/>
    <w:tmpl w:val="C6B0F2DC"/>
    <w:lvl w:ilvl="0" w:tplc="FBD6F8D6">
      <w:start w:val="1"/>
      <w:numFmt w:val="bullet"/>
      <w:lvlText w:val="-"/>
      <w:lvlJc w:val="left"/>
      <w:pPr>
        <w:ind w:left="720" w:hanging="360"/>
      </w:pPr>
      <w:rPr>
        <w:rFonts w:ascii="Calibri" w:eastAsia="Calibri" w:hAnsi="Calibri" w:cs="Times New Roman" w:hint="default"/>
        <w:sz w:val="22"/>
      </w:rPr>
    </w:lvl>
    <w:lvl w:ilvl="1" w:tplc="08090003">
      <w:start w:val="1"/>
      <w:numFmt w:val="bullet"/>
      <w:lvlText w:val="o"/>
      <w:lvlJc w:val="left"/>
      <w:pPr>
        <w:ind w:left="1440" w:hanging="360"/>
      </w:pPr>
      <w:rPr>
        <w:rFonts w:ascii="Courier New" w:hAnsi="Courier New" w:cs="Courier New" w:hint="default"/>
        <w:sz w:val="2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863EF1"/>
    <w:multiLevelType w:val="hybridMultilevel"/>
    <w:tmpl w:val="C434BC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CFD6B29"/>
    <w:multiLevelType w:val="hybridMultilevel"/>
    <w:tmpl w:val="86E47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F100209"/>
    <w:multiLevelType w:val="hybridMultilevel"/>
    <w:tmpl w:val="5F8022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0FF02477"/>
    <w:multiLevelType w:val="hybridMultilevel"/>
    <w:tmpl w:val="33BC2A7A"/>
    <w:lvl w:ilvl="0" w:tplc="FBD6F8D6">
      <w:start w:val="1"/>
      <w:numFmt w:val="bullet"/>
      <w:lvlText w:val="-"/>
      <w:lvlJc w:val="left"/>
      <w:pPr>
        <w:ind w:left="720" w:hanging="360"/>
      </w:pPr>
      <w:rPr>
        <w:rFonts w:ascii="Calibri" w:eastAsia="Calibri" w:hAnsi="Calibri" w:cs="Times New Roman" w:hint="default"/>
        <w:sz w:val="22"/>
      </w:rPr>
    </w:lvl>
    <w:lvl w:ilvl="1" w:tplc="08090003">
      <w:start w:val="1"/>
      <w:numFmt w:val="bullet"/>
      <w:lvlText w:val="o"/>
      <w:lvlJc w:val="left"/>
      <w:pPr>
        <w:ind w:left="1440" w:hanging="360"/>
      </w:pPr>
      <w:rPr>
        <w:rFonts w:ascii="Courier New" w:hAnsi="Courier New" w:cs="Courier New" w:hint="default"/>
        <w:sz w:val="2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9075E22"/>
    <w:multiLevelType w:val="hybridMultilevel"/>
    <w:tmpl w:val="45B252CC"/>
    <w:lvl w:ilvl="0" w:tplc="E670018A">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AFC7468"/>
    <w:multiLevelType w:val="hybridMultilevel"/>
    <w:tmpl w:val="D5D4D682"/>
    <w:lvl w:ilvl="0" w:tplc="30BAA5AA">
      <w:start w:val="12"/>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3352DD5"/>
    <w:multiLevelType w:val="hybridMultilevel"/>
    <w:tmpl w:val="176CCA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88E56CF"/>
    <w:multiLevelType w:val="hybridMultilevel"/>
    <w:tmpl w:val="13F622EC"/>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EBC6F84"/>
    <w:multiLevelType w:val="hybridMultilevel"/>
    <w:tmpl w:val="ADD8E8D0"/>
    <w:lvl w:ilvl="0" w:tplc="10B2E9EA">
      <w:start w:val="1"/>
      <w:numFmt w:val="decimal"/>
      <w:lvlText w:val="%1."/>
      <w:lvlJc w:val="left"/>
      <w:pPr>
        <w:ind w:left="360" w:hanging="360"/>
      </w:pPr>
      <w:rPr>
        <w:rFonts w:ascii="Calibri" w:eastAsia="Times New Roman" w:hAnsi="Calibri"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FD46E5F"/>
    <w:multiLevelType w:val="hybridMultilevel"/>
    <w:tmpl w:val="9300FB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0D43E5C"/>
    <w:multiLevelType w:val="hybridMultilevel"/>
    <w:tmpl w:val="6ECC0DC6"/>
    <w:lvl w:ilvl="0" w:tplc="6D745D24">
      <w:start w:val="1"/>
      <w:numFmt w:val="bullet"/>
      <w:pStyle w:val="Tabletxtbold"/>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2E1781B"/>
    <w:multiLevelType w:val="hybridMultilevel"/>
    <w:tmpl w:val="D3A277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51C1897"/>
    <w:multiLevelType w:val="hybridMultilevel"/>
    <w:tmpl w:val="643244E0"/>
    <w:lvl w:ilvl="0" w:tplc="08090001">
      <w:start w:val="1"/>
      <w:numFmt w:val="bullet"/>
      <w:lvlText w:val=""/>
      <w:lvlJc w:val="left"/>
      <w:pPr>
        <w:ind w:left="360" w:hanging="360"/>
      </w:pPr>
      <w:rPr>
        <w:rFonts w:ascii="Symbol" w:hAnsi="Symbol" w:hint="default"/>
      </w:rPr>
    </w:lvl>
    <w:lvl w:ilvl="1" w:tplc="0C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5727863"/>
    <w:multiLevelType w:val="hybridMultilevel"/>
    <w:tmpl w:val="95F43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5AE6981"/>
    <w:multiLevelType w:val="hybridMultilevel"/>
    <w:tmpl w:val="AB2EAFEC"/>
    <w:lvl w:ilvl="0" w:tplc="FBD6F8D6">
      <w:start w:val="1"/>
      <w:numFmt w:val="bullet"/>
      <w:lvlText w:val="-"/>
      <w:lvlJc w:val="left"/>
      <w:pPr>
        <w:ind w:left="720" w:hanging="360"/>
      </w:pPr>
      <w:rPr>
        <w:rFonts w:ascii="Calibri" w:eastAsia="Calibri" w:hAnsi="Calibri"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7D2189C"/>
    <w:multiLevelType w:val="hybridMultilevel"/>
    <w:tmpl w:val="93267B9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83E15C5"/>
    <w:multiLevelType w:val="hybridMultilevel"/>
    <w:tmpl w:val="A14C6E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nsid w:val="59AA1158"/>
    <w:multiLevelType w:val="hybridMultilevel"/>
    <w:tmpl w:val="C0061CF6"/>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5B603D8B"/>
    <w:multiLevelType w:val="hybridMultilevel"/>
    <w:tmpl w:val="D1486B86"/>
    <w:lvl w:ilvl="0" w:tplc="32066602">
      <w:start w:val="1"/>
      <w:numFmt w:val="bullet"/>
      <w:lvlText w:val="-"/>
      <w:lvlJc w:val="left"/>
      <w:pPr>
        <w:ind w:left="720" w:hanging="360"/>
      </w:pPr>
      <w:rPr>
        <w:rFonts w:ascii="Calibri" w:eastAsia="Times New Roman" w:hAnsi="Calibri" w:cs="Times New Roman"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E302DAC"/>
    <w:multiLevelType w:val="hybridMultilevel"/>
    <w:tmpl w:val="A738B64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61084B35"/>
    <w:multiLevelType w:val="hybridMultilevel"/>
    <w:tmpl w:val="F012864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40722FA"/>
    <w:multiLevelType w:val="hybridMultilevel"/>
    <w:tmpl w:val="03648E2C"/>
    <w:lvl w:ilvl="0" w:tplc="D17653CC">
      <w:start w:val="1"/>
      <w:numFmt w:val="bullet"/>
      <w:lvlText w:val=""/>
      <w:lvlJc w:val="left"/>
      <w:pPr>
        <w:ind w:left="360" w:hanging="360"/>
      </w:pPr>
      <w:rPr>
        <w:rFonts w:ascii="Symbol" w:hAnsi="Symbol" w:hint="default"/>
        <w:sz w:val="1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641F3408"/>
    <w:multiLevelType w:val="hybridMultilevel"/>
    <w:tmpl w:val="1C10EEF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65E30A08"/>
    <w:multiLevelType w:val="hybridMultilevel"/>
    <w:tmpl w:val="12A49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D797B4F"/>
    <w:multiLevelType w:val="hybridMultilevel"/>
    <w:tmpl w:val="9F5067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73C51232"/>
    <w:multiLevelType w:val="hybridMultilevel"/>
    <w:tmpl w:val="578E5C1C"/>
    <w:lvl w:ilvl="0" w:tplc="846CB08E">
      <w:start w:val="1"/>
      <w:numFmt w:val="bullet"/>
      <w:lvlText w:val=""/>
      <w:lvlJc w:val="left"/>
      <w:pPr>
        <w:ind w:left="360" w:hanging="360"/>
      </w:pPr>
      <w:rPr>
        <w:rFonts w:ascii="Symbol" w:hAnsi="Symbo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78F80BD1"/>
    <w:multiLevelType w:val="hybridMultilevel"/>
    <w:tmpl w:val="79F067A0"/>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5"/>
  </w:num>
  <w:num w:numId="2">
    <w:abstractNumId w:val="17"/>
  </w:num>
  <w:num w:numId="3">
    <w:abstractNumId w:val="5"/>
  </w:num>
  <w:num w:numId="4">
    <w:abstractNumId w:val="11"/>
  </w:num>
  <w:num w:numId="5">
    <w:abstractNumId w:val="28"/>
  </w:num>
  <w:num w:numId="6">
    <w:abstractNumId w:val="21"/>
  </w:num>
  <w:num w:numId="7">
    <w:abstractNumId w:val="7"/>
  </w:num>
  <w:num w:numId="8">
    <w:abstractNumId w:val="6"/>
  </w:num>
  <w:num w:numId="9">
    <w:abstractNumId w:val="16"/>
  </w:num>
  <w:num w:numId="10">
    <w:abstractNumId w:val="14"/>
  </w:num>
  <w:num w:numId="11">
    <w:abstractNumId w:val="12"/>
  </w:num>
  <w:num w:numId="12">
    <w:abstractNumId w:val="9"/>
  </w:num>
  <w:num w:numId="13">
    <w:abstractNumId w:val="22"/>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8"/>
  </w:num>
  <w:num w:numId="17">
    <w:abstractNumId w:val="20"/>
  </w:num>
  <w:num w:numId="18">
    <w:abstractNumId w:val="29"/>
  </w:num>
  <w:num w:numId="19">
    <w:abstractNumId w:val="30"/>
  </w:num>
  <w:num w:numId="20">
    <w:abstractNumId w:val="3"/>
  </w:num>
  <w:num w:numId="21">
    <w:abstractNumId w:val="2"/>
  </w:num>
  <w:num w:numId="22">
    <w:abstractNumId w:val="13"/>
  </w:num>
  <w:num w:numId="23">
    <w:abstractNumId w:val="8"/>
  </w:num>
  <w:num w:numId="24">
    <w:abstractNumId w:val="23"/>
  </w:num>
  <w:num w:numId="25">
    <w:abstractNumId w:val="24"/>
  </w:num>
  <w:num w:numId="26">
    <w:abstractNumId w:val="31"/>
  </w:num>
  <w:num w:numId="27">
    <w:abstractNumId w:val="4"/>
  </w:num>
  <w:num w:numId="28">
    <w:abstractNumId w:val="19"/>
  </w:num>
  <w:num w:numId="29">
    <w:abstractNumId w:val="10"/>
  </w:num>
  <w:num w:numId="30">
    <w:abstractNumId w:val="26"/>
  </w:num>
  <w:num w:numId="31">
    <w:abstractNumId w:val="27"/>
  </w:num>
  <w:num w:numId="32">
    <w:abstractNumId w:val="0"/>
  </w:num>
  <w:num w:numId="33">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rsids>
    <w:rsidRoot w:val="00F75652"/>
    <w:rsid w:val="000007DE"/>
    <w:rsid w:val="00001913"/>
    <w:rsid w:val="00005A96"/>
    <w:rsid w:val="00005C7F"/>
    <w:rsid w:val="00006D32"/>
    <w:rsid w:val="0001304B"/>
    <w:rsid w:val="00017F6C"/>
    <w:rsid w:val="0002417B"/>
    <w:rsid w:val="000253FE"/>
    <w:rsid w:val="00052171"/>
    <w:rsid w:val="00052507"/>
    <w:rsid w:val="000526A7"/>
    <w:rsid w:val="00063747"/>
    <w:rsid w:val="00064C34"/>
    <w:rsid w:val="00065791"/>
    <w:rsid w:val="0006633B"/>
    <w:rsid w:val="00067BA7"/>
    <w:rsid w:val="00072EFE"/>
    <w:rsid w:val="00074767"/>
    <w:rsid w:val="0007573E"/>
    <w:rsid w:val="0008636F"/>
    <w:rsid w:val="000914D4"/>
    <w:rsid w:val="00092D85"/>
    <w:rsid w:val="00093C4E"/>
    <w:rsid w:val="00097758"/>
    <w:rsid w:val="000A3F19"/>
    <w:rsid w:val="000A6296"/>
    <w:rsid w:val="000B02FD"/>
    <w:rsid w:val="000B2A9C"/>
    <w:rsid w:val="000B2D38"/>
    <w:rsid w:val="000C586D"/>
    <w:rsid w:val="000D334C"/>
    <w:rsid w:val="000E2139"/>
    <w:rsid w:val="000E7D97"/>
    <w:rsid w:val="000E7F03"/>
    <w:rsid w:val="000F191E"/>
    <w:rsid w:val="000F1FAF"/>
    <w:rsid w:val="00100614"/>
    <w:rsid w:val="00104A66"/>
    <w:rsid w:val="0010557F"/>
    <w:rsid w:val="00107795"/>
    <w:rsid w:val="00127224"/>
    <w:rsid w:val="0013158C"/>
    <w:rsid w:val="001336A5"/>
    <w:rsid w:val="00135EA0"/>
    <w:rsid w:val="001419D7"/>
    <w:rsid w:val="00152DFB"/>
    <w:rsid w:val="00153E28"/>
    <w:rsid w:val="001559B8"/>
    <w:rsid w:val="00164438"/>
    <w:rsid w:val="00165946"/>
    <w:rsid w:val="00171624"/>
    <w:rsid w:val="00174B8A"/>
    <w:rsid w:val="001750BA"/>
    <w:rsid w:val="001820C5"/>
    <w:rsid w:val="00191A5B"/>
    <w:rsid w:val="001A1DAC"/>
    <w:rsid w:val="001A5081"/>
    <w:rsid w:val="001A71B1"/>
    <w:rsid w:val="001A7EFE"/>
    <w:rsid w:val="001B18BD"/>
    <w:rsid w:val="001B1FF8"/>
    <w:rsid w:val="001B5939"/>
    <w:rsid w:val="001C4700"/>
    <w:rsid w:val="001D46D4"/>
    <w:rsid w:val="001D5592"/>
    <w:rsid w:val="001E13A4"/>
    <w:rsid w:val="001E3C2F"/>
    <w:rsid w:val="001E4915"/>
    <w:rsid w:val="001E75CB"/>
    <w:rsid w:val="0020094E"/>
    <w:rsid w:val="00202188"/>
    <w:rsid w:val="00211ABE"/>
    <w:rsid w:val="00214D12"/>
    <w:rsid w:val="00225C46"/>
    <w:rsid w:val="00226884"/>
    <w:rsid w:val="00226AC9"/>
    <w:rsid w:val="00234B2A"/>
    <w:rsid w:val="0023612F"/>
    <w:rsid w:val="0023736D"/>
    <w:rsid w:val="002400FB"/>
    <w:rsid w:val="002413D1"/>
    <w:rsid w:val="0024577A"/>
    <w:rsid w:val="00246F81"/>
    <w:rsid w:val="002572DD"/>
    <w:rsid w:val="00257B5D"/>
    <w:rsid w:val="00257CB0"/>
    <w:rsid w:val="00261198"/>
    <w:rsid w:val="00262EB2"/>
    <w:rsid w:val="00265A9A"/>
    <w:rsid w:val="00266BF4"/>
    <w:rsid w:val="00270C74"/>
    <w:rsid w:val="00272BE0"/>
    <w:rsid w:val="00273215"/>
    <w:rsid w:val="00277CD4"/>
    <w:rsid w:val="00280683"/>
    <w:rsid w:val="002808F6"/>
    <w:rsid w:val="00280AE5"/>
    <w:rsid w:val="0029233E"/>
    <w:rsid w:val="00294037"/>
    <w:rsid w:val="0029665A"/>
    <w:rsid w:val="002A0FDE"/>
    <w:rsid w:val="002A7CEB"/>
    <w:rsid w:val="002C3276"/>
    <w:rsid w:val="002D731D"/>
    <w:rsid w:val="002D7922"/>
    <w:rsid w:val="002E0C9D"/>
    <w:rsid w:val="002F42C2"/>
    <w:rsid w:val="003138A9"/>
    <w:rsid w:val="0032630D"/>
    <w:rsid w:val="00326696"/>
    <w:rsid w:val="00334A7E"/>
    <w:rsid w:val="00334DBC"/>
    <w:rsid w:val="0033783C"/>
    <w:rsid w:val="003421C8"/>
    <w:rsid w:val="003425AC"/>
    <w:rsid w:val="00345A19"/>
    <w:rsid w:val="00345B5F"/>
    <w:rsid w:val="00352C62"/>
    <w:rsid w:val="003555AB"/>
    <w:rsid w:val="00355CD7"/>
    <w:rsid w:val="003575D7"/>
    <w:rsid w:val="00357ED5"/>
    <w:rsid w:val="003633E7"/>
    <w:rsid w:val="00366CCE"/>
    <w:rsid w:val="00375D4A"/>
    <w:rsid w:val="003807D4"/>
    <w:rsid w:val="00381DDE"/>
    <w:rsid w:val="00391F96"/>
    <w:rsid w:val="003A1EA6"/>
    <w:rsid w:val="003A3072"/>
    <w:rsid w:val="003A3497"/>
    <w:rsid w:val="003A37D8"/>
    <w:rsid w:val="003A7262"/>
    <w:rsid w:val="003B18F3"/>
    <w:rsid w:val="003B3BAB"/>
    <w:rsid w:val="003B4176"/>
    <w:rsid w:val="003B4DEE"/>
    <w:rsid w:val="003C4CCA"/>
    <w:rsid w:val="003C4E91"/>
    <w:rsid w:val="003C7EA9"/>
    <w:rsid w:val="003D3B3F"/>
    <w:rsid w:val="003D611A"/>
    <w:rsid w:val="003E05B1"/>
    <w:rsid w:val="003E2A62"/>
    <w:rsid w:val="003E5183"/>
    <w:rsid w:val="003E653D"/>
    <w:rsid w:val="003F020C"/>
    <w:rsid w:val="003F10AA"/>
    <w:rsid w:val="003F3318"/>
    <w:rsid w:val="003F4910"/>
    <w:rsid w:val="003F5B1B"/>
    <w:rsid w:val="00405327"/>
    <w:rsid w:val="004177BD"/>
    <w:rsid w:val="004205BB"/>
    <w:rsid w:val="00420ABF"/>
    <w:rsid w:val="00426970"/>
    <w:rsid w:val="00434B95"/>
    <w:rsid w:val="00440EA7"/>
    <w:rsid w:val="00446E6B"/>
    <w:rsid w:val="00457FB5"/>
    <w:rsid w:val="00466100"/>
    <w:rsid w:val="00474756"/>
    <w:rsid w:val="00475F65"/>
    <w:rsid w:val="004878E7"/>
    <w:rsid w:val="004909EE"/>
    <w:rsid w:val="004927DA"/>
    <w:rsid w:val="00494D56"/>
    <w:rsid w:val="004B02D7"/>
    <w:rsid w:val="004B3169"/>
    <w:rsid w:val="004B3566"/>
    <w:rsid w:val="004B4680"/>
    <w:rsid w:val="004B48D8"/>
    <w:rsid w:val="004B7D83"/>
    <w:rsid w:val="004C07F5"/>
    <w:rsid w:val="004D3E3C"/>
    <w:rsid w:val="004E1C47"/>
    <w:rsid w:val="004E38DA"/>
    <w:rsid w:val="004E512C"/>
    <w:rsid w:val="004E78D7"/>
    <w:rsid w:val="004F08C5"/>
    <w:rsid w:val="005013ED"/>
    <w:rsid w:val="00504829"/>
    <w:rsid w:val="0050608D"/>
    <w:rsid w:val="0051012D"/>
    <w:rsid w:val="005137CB"/>
    <w:rsid w:val="00517F32"/>
    <w:rsid w:val="00525800"/>
    <w:rsid w:val="0053133F"/>
    <w:rsid w:val="005331A0"/>
    <w:rsid w:val="005366D0"/>
    <w:rsid w:val="00536C01"/>
    <w:rsid w:val="0053775E"/>
    <w:rsid w:val="005523D5"/>
    <w:rsid w:val="00554818"/>
    <w:rsid w:val="00554DB5"/>
    <w:rsid w:val="0055659D"/>
    <w:rsid w:val="0056017D"/>
    <w:rsid w:val="005655E7"/>
    <w:rsid w:val="00566B2A"/>
    <w:rsid w:val="00577CE5"/>
    <w:rsid w:val="005807F1"/>
    <w:rsid w:val="005809FB"/>
    <w:rsid w:val="0059404B"/>
    <w:rsid w:val="00595F90"/>
    <w:rsid w:val="005A0E74"/>
    <w:rsid w:val="005A1180"/>
    <w:rsid w:val="005A12B0"/>
    <w:rsid w:val="005A723C"/>
    <w:rsid w:val="005B0722"/>
    <w:rsid w:val="005B5807"/>
    <w:rsid w:val="005C5E80"/>
    <w:rsid w:val="005D3D0A"/>
    <w:rsid w:val="005D634E"/>
    <w:rsid w:val="005D6958"/>
    <w:rsid w:val="005E1170"/>
    <w:rsid w:val="005E2C32"/>
    <w:rsid w:val="005E65E8"/>
    <w:rsid w:val="005E6D4A"/>
    <w:rsid w:val="005E6E1E"/>
    <w:rsid w:val="005F09F9"/>
    <w:rsid w:val="005F2717"/>
    <w:rsid w:val="005F5368"/>
    <w:rsid w:val="005F64BA"/>
    <w:rsid w:val="005F737B"/>
    <w:rsid w:val="00601EF4"/>
    <w:rsid w:val="00613419"/>
    <w:rsid w:val="00620256"/>
    <w:rsid w:val="006238AF"/>
    <w:rsid w:val="0063166B"/>
    <w:rsid w:val="00631982"/>
    <w:rsid w:val="00632847"/>
    <w:rsid w:val="006328F7"/>
    <w:rsid w:val="006374C6"/>
    <w:rsid w:val="00640201"/>
    <w:rsid w:val="00647F11"/>
    <w:rsid w:val="00650329"/>
    <w:rsid w:val="00657CDA"/>
    <w:rsid w:val="0066109E"/>
    <w:rsid w:val="00661746"/>
    <w:rsid w:val="006640AB"/>
    <w:rsid w:val="0067354C"/>
    <w:rsid w:val="006756C1"/>
    <w:rsid w:val="006828DB"/>
    <w:rsid w:val="006847AC"/>
    <w:rsid w:val="0068601A"/>
    <w:rsid w:val="00686BE5"/>
    <w:rsid w:val="006874BF"/>
    <w:rsid w:val="006927DF"/>
    <w:rsid w:val="006936A4"/>
    <w:rsid w:val="00695A0E"/>
    <w:rsid w:val="006976F6"/>
    <w:rsid w:val="006A2EC7"/>
    <w:rsid w:val="006B2DE8"/>
    <w:rsid w:val="006B3987"/>
    <w:rsid w:val="006B5759"/>
    <w:rsid w:val="006B65D1"/>
    <w:rsid w:val="006B67F8"/>
    <w:rsid w:val="006C1916"/>
    <w:rsid w:val="006C694E"/>
    <w:rsid w:val="006D08C6"/>
    <w:rsid w:val="006D1365"/>
    <w:rsid w:val="006E06D4"/>
    <w:rsid w:val="006E254B"/>
    <w:rsid w:val="006E41BD"/>
    <w:rsid w:val="007017A6"/>
    <w:rsid w:val="00704FDA"/>
    <w:rsid w:val="007056B8"/>
    <w:rsid w:val="0070581C"/>
    <w:rsid w:val="00705A68"/>
    <w:rsid w:val="007066F2"/>
    <w:rsid w:val="007166FA"/>
    <w:rsid w:val="00733B06"/>
    <w:rsid w:val="00740A8F"/>
    <w:rsid w:val="007440F7"/>
    <w:rsid w:val="00750C59"/>
    <w:rsid w:val="0075685C"/>
    <w:rsid w:val="00760BB2"/>
    <w:rsid w:val="007626C9"/>
    <w:rsid w:val="0077198F"/>
    <w:rsid w:val="007731DF"/>
    <w:rsid w:val="007733BE"/>
    <w:rsid w:val="007919DE"/>
    <w:rsid w:val="007A5C00"/>
    <w:rsid w:val="007A7603"/>
    <w:rsid w:val="007B2ED9"/>
    <w:rsid w:val="007B3828"/>
    <w:rsid w:val="007B52B0"/>
    <w:rsid w:val="007B64F4"/>
    <w:rsid w:val="007B6933"/>
    <w:rsid w:val="007B7F3B"/>
    <w:rsid w:val="007C5DCB"/>
    <w:rsid w:val="007D283F"/>
    <w:rsid w:val="007D32C7"/>
    <w:rsid w:val="007E5ADC"/>
    <w:rsid w:val="007E6008"/>
    <w:rsid w:val="007F1B07"/>
    <w:rsid w:val="007F250C"/>
    <w:rsid w:val="0080483D"/>
    <w:rsid w:val="00812DAE"/>
    <w:rsid w:val="00824F72"/>
    <w:rsid w:val="00825A63"/>
    <w:rsid w:val="0082611D"/>
    <w:rsid w:val="00827FD3"/>
    <w:rsid w:val="00830B3E"/>
    <w:rsid w:val="008336F7"/>
    <w:rsid w:val="0083780E"/>
    <w:rsid w:val="008430BD"/>
    <w:rsid w:val="00844B89"/>
    <w:rsid w:val="00853F99"/>
    <w:rsid w:val="00856676"/>
    <w:rsid w:val="00863216"/>
    <w:rsid w:val="00863599"/>
    <w:rsid w:val="00866011"/>
    <w:rsid w:val="00880747"/>
    <w:rsid w:val="00882460"/>
    <w:rsid w:val="00882B7E"/>
    <w:rsid w:val="00887351"/>
    <w:rsid w:val="00887B66"/>
    <w:rsid w:val="00896C47"/>
    <w:rsid w:val="008975A8"/>
    <w:rsid w:val="008A4169"/>
    <w:rsid w:val="008C0801"/>
    <w:rsid w:val="008C1BC9"/>
    <w:rsid w:val="008D2AFA"/>
    <w:rsid w:val="008D6929"/>
    <w:rsid w:val="008E2D93"/>
    <w:rsid w:val="008E6EB2"/>
    <w:rsid w:val="008F044A"/>
    <w:rsid w:val="0090737B"/>
    <w:rsid w:val="009114DB"/>
    <w:rsid w:val="00912A42"/>
    <w:rsid w:val="00915191"/>
    <w:rsid w:val="00922920"/>
    <w:rsid w:val="00923BAE"/>
    <w:rsid w:val="009266C5"/>
    <w:rsid w:val="009273B2"/>
    <w:rsid w:val="00931AC2"/>
    <w:rsid w:val="0094229D"/>
    <w:rsid w:val="0094506C"/>
    <w:rsid w:val="00950A9A"/>
    <w:rsid w:val="00953308"/>
    <w:rsid w:val="00955776"/>
    <w:rsid w:val="00957027"/>
    <w:rsid w:val="009800DC"/>
    <w:rsid w:val="009805F1"/>
    <w:rsid w:val="0098168D"/>
    <w:rsid w:val="00990653"/>
    <w:rsid w:val="009A1B20"/>
    <w:rsid w:val="009A45B3"/>
    <w:rsid w:val="009A557B"/>
    <w:rsid w:val="009B16DC"/>
    <w:rsid w:val="009B25BD"/>
    <w:rsid w:val="009C1270"/>
    <w:rsid w:val="009E0A55"/>
    <w:rsid w:val="009E58F1"/>
    <w:rsid w:val="009F1B1A"/>
    <w:rsid w:val="00A0021B"/>
    <w:rsid w:val="00A02CCD"/>
    <w:rsid w:val="00A12407"/>
    <w:rsid w:val="00A16060"/>
    <w:rsid w:val="00A22C8D"/>
    <w:rsid w:val="00A232CF"/>
    <w:rsid w:val="00A23E33"/>
    <w:rsid w:val="00A34A31"/>
    <w:rsid w:val="00A43872"/>
    <w:rsid w:val="00A443B1"/>
    <w:rsid w:val="00A51405"/>
    <w:rsid w:val="00A56449"/>
    <w:rsid w:val="00A632B8"/>
    <w:rsid w:val="00A64BAA"/>
    <w:rsid w:val="00A6527C"/>
    <w:rsid w:val="00A66714"/>
    <w:rsid w:val="00A670B9"/>
    <w:rsid w:val="00A67D78"/>
    <w:rsid w:val="00A715ED"/>
    <w:rsid w:val="00A80CE0"/>
    <w:rsid w:val="00A81910"/>
    <w:rsid w:val="00A95180"/>
    <w:rsid w:val="00A97F17"/>
    <w:rsid w:val="00AA379E"/>
    <w:rsid w:val="00AA4298"/>
    <w:rsid w:val="00AA7A9F"/>
    <w:rsid w:val="00AB2FDA"/>
    <w:rsid w:val="00AB474A"/>
    <w:rsid w:val="00AB5865"/>
    <w:rsid w:val="00AC1E64"/>
    <w:rsid w:val="00AC688E"/>
    <w:rsid w:val="00AD3073"/>
    <w:rsid w:val="00AD45E0"/>
    <w:rsid w:val="00AE200B"/>
    <w:rsid w:val="00AE26BB"/>
    <w:rsid w:val="00AE591E"/>
    <w:rsid w:val="00AF5ED0"/>
    <w:rsid w:val="00B01754"/>
    <w:rsid w:val="00B01DAB"/>
    <w:rsid w:val="00B06B64"/>
    <w:rsid w:val="00B15505"/>
    <w:rsid w:val="00B2644B"/>
    <w:rsid w:val="00B357AA"/>
    <w:rsid w:val="00B37E2B"/>
    <w:rsid w:val="00B44931"/>
    <w:rsid w:val="00B44DBF"/>
    <w:rsid w:val="00B56358"/>
    <w:rsid w:val="00B565CE"/>
    <w:rsid w:val="00B60A50"/>
    <w:rsid w:val="00B6544F"/>
    <w:rsid w:val="00B70055"/>
    <w:rsid w:val="00B75007"/>
    <w:rsid w:val="00B80838"/>
    <w:rsid w:val="00B80FAE"/>
    <w:rsid w:val="00B8612D"/>
    <w:rsid w:val="00B90C89"/>
    <w:rsid w:val="00B915D3"/>
    <w:rsid w:val="00B977D7"/>
    <w:rsid w:val="00BA1A32"/>
    <w:rsid w:val="00BA226F"/>
    <w:rsid w:val="00BA64CC"/>
    <w:rsid w:val="00BB6879"/>
    <w:rsid w:val="00BB6A22"/>
    <w:rsid w:val="00BC6024"/>
    <w:rsid w:val="00BC7259"/>
    <w:rsid w:val="00BD49DE"/>
    <w:rsid w:val="00BE0792"/>
    <w:rsid w:val="00BE35C4"/>
    <w:rsid w:val="00BF1357"/>
    <w:rsid w:val="00BF6982"/>
    <w:rsid w:val="00C00F3C"/>
    <w:rsid w:val="00C01B75"/>
    <w:rsid w:val="00C029DA"/>
    <w:rsid w:val="00C04652"/>
    <w:rsid w:val="00C07C85"/>
    <w:rsid w:val="00C11B11"/>
    <w:rsid w:val="00C13AC3"/>
    <w:rsid w:val="00C14AE6"/>
    <w:rsid w:val="00C14E20"/>
    <w:rsid w:val="00C17295"/>
    <w:rsid w:val="00C205CB"/>
    <w:rsid w:val="00C2178F"/>
    <w:rsid w:val="00C311C4"/>
    <w:rsid w:val="00C3191C"/>
    <w:rsid w:val="00C32D95"/>
    <w:rsid w:val="00C36058"/>
    <w:rsid w:val="00C37D1B"/>
    <w:rsid w:val="00C459C0"/>
    <w:rsid w:val="00C46B45"/>
    <w:rsid w:val="00C5432F"/>
    <w:rsid w:val="00C575E5"/>
    <w:rsid w:val="00C7041B"/>
    <w:rsid w:val="00C71CC4"/>
    <w:rsid w:val="00C729D3"/>
    <w:rsid w:val="00C7592A"/>
    <w:rsid w:val="00C771ED"/>
    <w:rsid w:val="00C82091"/>
    <w:rsid w:val="00C83C53"/>
    <w:rsid w:val="00C854D3"/>
    <w:rsid w:val="00C86D76"/>
    <w:rsid w:val="00C9120A"/>
    <w:rsid w:val="00CC038D"/>
    <w:rsid w:val="00CD3433"/>
    <w:rsid w:val="00CD3A2C"/>
    <w:rsid w:val="00CE0433"/>
    <w:rsid w:val="00CE0BEF"/>
    <w:rsid w:val="00CF02C5"/>
    <w:rsid w:val="00CF1D6F"/>
    <w:rsid w:val="00D03743"/>
    <w:rsid w:val="00D0565D"/>
    <w:rsid w:val="00D139D5"/>
    <w:rsid w:val="00D1612F"/>
    <w:rsid w:val="00D26D98"/>
    <w:rsid w:val="00D33075"/>
    <w:rsid w:val="00D34AAB"/>
    <w:rsid w:val="00D3615D"/>
    <w:rsid w:val="00D37143"/>
    <w:rsid w:val="00D4135C"/>
    <w:rsid w:val="00D57976"/>
    <w:rsid w:val="00D754DB"/>
    <w:rsid w:val="00D75E2A"/>
    <w:rsid w:val="00D8055A"/>
    <w:rsid w:val="00D8155A"/>
    <w:rsid w:val="00D9280A"/>
    <w:rsid w:val="00D974E6"/>
    <w:rsid w:val="00DA1ACB"/>
    <w:rsid w:val="00DA5C9D"/>
    <w:rsid w:val="00DB3221"/>
    <w:rsid w:val="00DB6C09"/>
    <w:rsid w:val="00DC1713"/>
    <w:rsid w:val="00DC5F46"/>
    <w:rsid w:val="00DC77DE"/>
    <w:rsid w:val="00DD0711"/>
    <w:rsid w:val="00DD2854"/>
    <w:rsid w:val="00DD5FD0"/>
    <w:rsid w:val="00DD7AB6"/>
    <w:rsid w:val="00DE03A7"/>
    <w:rsid w:val="00DE53F7"/>
    <w:rsid w:val="00DE672B"/>
    <w:rsid w:val="00DE7047"/>
    <w:rsid w:val="00DE7928"/>
    <w:rsid w:val="00DE7988"/>
    <w:rsid w:val="00DF51D5"/>
    <w:rsid w:val="00E01F22"/>
    <w:rsid w:val="00E0384E"/>
    <w:rsid w:val="00E17268"/>
    <w:rsid w:val="00E17D95"/>
    <w:rsid w:val="00E236F1"/>
    <w:rsid w:val="00E25A18"/>
    <w:rsid w:val="00E44614"/>
    <w:rsid w:val="00E511BC"/>
    <w:rsid w:val="00E57003"/>
    <w:rsid w:val="00E61A99"/>
    <w:rsid w:val="00E86ACD"/>
    <w:rsid w:val="00E92C1C"/>
    <w:rsid w:val="00E96657"/>
    <w:rsid w:val="00E97EB5"/>
    <w:rsid w:val="00EA1426"/>
    <w:rsid w:val="00EB1591"/>
    <w:rsid w:val="00EB1AA9"/>
    <w:rsid w:val="00EB241B"/>
    <w:rsid w:val="00EB30A6"/>
    <w:rsid w:val="00EB35C9"/>
    <w:rsid w:val="00EB38D2"/>
    <w:rsid w:val="00EC340A"/>
    <w:rsid w:val="00EC6585"/>
    <w:rsid w:val="00ED3134"/>
    <w:rsid w:val="00ED339B"/>
    <w:rsid w:val="00ED5AB3"/>
    <w:rsid w:val="00EE05A3"/>
    <w:rsid w:val="00EF7D22"/>
    <w:rsid w:val="00F077A4"/>
    <w:rsid w:val="00F10BF3"/>
    <w:rsid w:val="00F129B9"/>
    <w:rsid w:val="00F12FB2"/>
    <w:rsid w:val="00F14C56"/>
    <w:rsid w:val="00F177F2"/>
    <w:rsid w:val="00F2244B"/>
    <w:rsid w:val="00F23028"/>
    <w:rsid w:val="00F24A7E"/>
    <w:rsid w:val="00F25BE0"/>
    <w:rsid w:val="00F2666D"/>
    <w:rsid w:val="00F321F2"/>
    <w:rsid w:val="00F47232"/>
    <w:rsid w:val="00F71E42"/>
    <w:rsid w:val="00F739D5"/>
    <w:rsid w:val="00F75652"/>
    <w:rsid w:val="00F808F7"/>
    <w:rsid w:val="00F81B53"/>
    <w:rsid w:val="00F845F5"/>
    <w:rsid w:val="00F850B7"/>
    <w:rsid w:val="00F90018"/>
    <w:rsid w:val="00F93FC3"/>
    <w:rsid w:val="00F95BDC"/>
    <w:rsid w:val="00FA0C6A"/>
    <w:rsid w:val="00FA467B"/>
    <w:rsid w:val="00FB0784"/>
    <w:rsid w:val="00FB34ED"/>
    <w:rsid w:val="00FC0EE3"/>
    <w:rsid w:val="00FC246C"/>
    <w:rsid w:val="00FC6F94"/>
    <w:rsid w:val="00FD54D4"/>
    <w:rsid w:val="00FE2981"/>
    <w:rsid w:val="00FE3A9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80A"/>
    <w:pPr>
      <w:spacing w:after="200" w:line="276" w:lineRule="auto"/>
    </w:pPr>
    <w:rPr>
      <w:sz w:val="22"/>
      <w:szCs w:val="22"/>
      <w:lang w:val="en-GB"/>
    </w:rPr>
  </w:style>
  <w:style w:type="paragraph" w:styleId="Heading1">
    <w:name w:val="heading 1"/>
    <w:basedOn w:val="Normal"/>
    <w:next w:val="Normal"/>
    <w:link w:val="Heading1Char"/>
    <w:uiPriority w:val="9"/>
    <w:qFormat/>
    <w:rsid w:val="00202188"/>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next w:val="Normal"/>
    <w:link w:val="Heading3Char"/>
    <w:qFormat/>
    <w:rsid w:val="001336A5"/>
    <w:pPr>
      <w:keepNext/>
      <w:spacing w:before="240" w:after="60" w:line="240" w:lineRule="auto"/>
      <w:outlineLvl w:val="2"/>
    </w:pPr>
    <w:rPr>
      <w:rFonts w:ascii="Arial" w:eastAsia="SimSun" w:hAnsi="Arial"/>
      <w:b/>
      <w:bCs/>
      <w:sz w:val="26"/>
      <w:szCs w:val="26"/>
      <w:lang w:val="nb-NO"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652"/>
    <w:pPr>
      <w:spacing w:after="0" w:line="240" w:lineRule="auto"/>
      <w:ind w:left="720"/>
    </w:pPr>
    <w:rPr>
      <w:lang w:val="en-US"/>
    </w:rPr>
  </w:style>
  <w:style w:type="table" w:styleId="TableGrid">
    <w:name w:val="Table Grid"/>
    <w:basedOn w:val="TableNormal"/>
    <w:uiPriority w:val="59"/>
    <w:rsid w:val="00F756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uiPriority w:val="9"/>
    <w:rsid w:val="00202188"/>
    <w:rPr>
      <w:rFonts w:ascii="Cambria" w:eastAsia="Times New Roman" w:hAnsi="Cambria" w:cs="Times New Roman"/>
      <w:b/>
      <w:bCs/>
      <w:color w:val="365F91"/>
      <w:sz w:val="28"/>
      <w:szCs w:val="28"/>
      <w:lang w:val="en-GB"/>
    </w:rPr>
  </w:style>
  <w:style w:type="paragraph" w:styleId="NoSpacing">
    <w:name w:val="No Spacing"/>
    <w:link w:val="NoSpacingChar"/>
    <w:uiPriority w:val="1"/>
    <w:qFormat/>
    <w:rsid w:val="00202188"/>
    <w:rPr>
      <w:sz w:val="22"/>
      <w:szCs w:val="22"/>
      <w:lang w:val="en-GB"/>
    </w:rPr>
  </w:style>
  <w:style w:type="paragraph" w:styleId="Header">
    <w:name w:val="header"/>
    <w:basedOn w:val="Normal"/>
    <w:link w:val="HeaderChar"/>
    <w:uiPriority w:val="99"/>
    <w:unhideWhenUsed/>
    <w:rsid w:val="005807F1"/>
    <w:pPr>
      <w:tabs>
        <w:tab w:val="center" w:pos="4680"/>
        <w:tab w:val="right" w:pos="9360"/>
      </w:tabs>
      <w:spacing w:after="0" w:line="240" w:lineRule="auto"/>
    </w:pPr>
    <w:rPr>
      <w:sz w:val="20"/>
      <w:szCs w:val="20"/>
    </w:rPr>
  </w:style>
  <w:style w:type="character" w:customStyle="1" w:styleId="HeaderChar">
    <w:name w:val="Header Char"/>
    <w:link w:val="Header"/>
    <w:uiPriority w:val="99"/>
    <w:rsid w:val="005807F1"/>
    <w:rPr>
      <w:lang w:val="en-GB"/>
    </w:rPr>
  </w:style>
  <w:style w:type="paragraph" w:styleId="Footer">
    <w:name w:val="footer"/>
    <w:basedOn w:val="Normal"/>
    <w:link w:val="FooterChar"/>
    <w:uiPriority w:val="99"/>
    <w:unhideWhenUsed/>
    <w:rsid w:val="005807F1"/>
    <w:pPr>
      <w:tabs>
        <w:tab w:val="center" w:pos="4680"/>
        <w:tab w:val="right" w:pos="9360"/>
      </w:tabs>
      <w:spacing w:after="0" w:line="240" w:lineRule="auto"/>
    </w:pPr>
    <w:rPr>
      <w:sz w:val="20"/>
      <w:szCs w:val="20"/>
    </w:rPr>
  </w:style>
  <w:style w:type="character" w:customStyle="1" w:styleId="FooterChar">
    <w:name w:val="Footer Char"/>
    <w:link w:val="Footer"/>
    <w:uiPriority w:val="99"/>
    <w:rsid w:val="005807F1"/>
    <w:rPr>
      <w:lang w:val="en-GB"/>
    </w:rPr>
  </w:style>
  <w:style w:type="paragraph" w:styleId="BalloonText">
    <w:name w:val="Balloon Text"/>
    <w:basedOn w:val="Normal"/>
    <w:link w:val="BalloonTextChar"/>
    <w:uiPriority w:val="99"/>
    <w:semiHidden/>
    <w:unhideWhenUsed/>
    <w:rsid w:val="005807F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807F1"/>
    <w:rPr>
      <w:rFonts w:ascii="Tahoma" w:hAnsi="Tahoma" w:cs="Tahoma"/>
      <w:sz w:val="16"/>
      <w:szCs w:val="16"/>
      <w:lang w:val="en-GB"/>
    </w:rPr>
  </w:style>
  <w:style w:type="character" w:styleId="CommentReference">
    <w:name w:val="annotation reference"/>
    <w:uiPriority w:val="99"/>
    <w:semiHidden/>
    <w:unhideWhenUsed/>
    <w:rsid w:val="00381DDE"/>
    <w:rPr>
      <w:sz w:val="16"/>
      <w:szCs w:val="16"/>
    </w:rPr>
  </w:style>
  <w:style w:type="paragraph" w:styleId="CommentText">
    <w:name w:val="annotation text"/>
    <w:basedOn w:val="Normal"/>
    <w:link w:val="CommentTextChar"/>
    <w:uiPriority w:val="99"/>
    <w:semiHidden/>
    <w:unhideWhenUsed/>
    <w:rsid w:val="00381DDE"/>
    <w:rPr>
      <w:sz w:val="20"/>
      <w:szCs w:val="20"/>
    </w:rPr>
  </w:style>
  <w:style w:type="character" w:customStyle="1" w:styleId="CommentTextChar">
    <w:name w:val="Comment Text Char"/>
    <w:link w:val="CommentText"/>
    <w:uiPriority w:val="99"/>
    <w:semiHidden/>
    <w:rsid w:val="00381DDE"/>
    <w:rPr>
      <w:lang w:val="en-GB"/>
    </w:rPr>
  </w:style>
  <w:style w:type="paragraph" w:styleId="CommentSubject">
    <w:name w:val="annotation subject"/>
    <w:basedOn w:val="CommentText"/>
    <w:next w:val="CommentText"/>
    <w:link w:val="CommentSubjectChar"/>
    <w:uiPriority w:val="99"/>
    <w:semiHidden/>
    <w:unhideWhenUsed/>
    <w:rsid w:val="00381DDE"/>
    <w:rPr>
      <w:b/>
      <w:bCs/>
    </w:rPr>
  </w:style>
  <w:style w:type="character" w:customStyle="1" w:styleId="CommentSubjectChar">
    <w:name w:val="Comment Subject Char"/>
    <w:link w:val="CommentSubject"/>
    <w:uiPriority w:val="99"/>
    <w:semiHidden/>
    <w:rsid w:val="00381DDE"/>
    <w:rPr>
      <w:b/>
      <w:bCs/>
      <w:lang w:val="en-GB"/>
    </w:rPr>
  </w:style>
  <w:style w:type="character" w:customStyle="1" w:styleId="Heading3Char">
    <w:name w:val="Heading 3 Char"/>
    <w:link w:val="Heading3"/>
    <w:rsid w:val="001336A5"/>
    <w:rPr>
      <w:rFonts w:ascii="Arial" w:eastAsia="SimSun" w:hAnsi="Arial" w:cs="Arial"/>
      <w:b/>
      <w:bCs/>
      <w:sz w:val="26"/>
      <w:szCs w:val="26"/>
      <w:lang w:val="nb-NO" w:eastAsia="nb-NO"/>
    </w:rPr>
  </w:style>
  <w:style w:type="character" w:styleId="Hyperlink">
    <w:name w:val="Hyperlink"/>
    <w:rsid w:val="001336A5"/>
    <w:rPr>
      <w:color w:val="0000FF"/>
      <w:u w:val="single"/>
    </w:rPr>
  </w:style>
  <w:style w:type="character" w:customStyle="1" w:styleId="stevenmc">
    <w:name w:val="stevenmc"/>
    <w:semiHidden/>
    <w:rsid w:val="00912A42"/>
    <w:rPr>
      <w:rFonts w:ascii="Verdana" w:hAnsi="Verdana"/>
      <w:b w:val="0"/>
      <w:bCs w:val="0"/>
      <w:i w:val="0"/>
      <w:iCs w:val="0"/>
      <w:strike w:val="0"/>
      <w:color w:val="0000FF"/>
      <w:sz w:val="20"/>
      <w:szCs w:val="20"/>
      <w:u w:val="none"/>
    </w:rPr>
  </w:style>
  <w:style w:type="paragraph" w:customStyle="1" w:styleId="Default">
    <w:name w:val="Default"/>
    <w:rsid w:val="00912A42"/>
    <w:pPr>
      <w:autoSpaceDE w:val="0"/>
      <w:autoSpaceDN w:val="0"/>
      <w:adjustRightInd w:val="0"/>
    </w:pPr>
    <w:rPr>
      <w:rFonts w:ascii="Times New Roman" w:eastAsia="Times New Roman" w:hAnsi="Times New Roman"/>
      <w:color w:val="000000"/>
      <w:sz w:val="24"/>
      <w:szCs w:val="24"/>
      <w:lang w:val="fr-FR" w:eastAsia="fr-FR"/>
    </w:rPr>
  </w:style>
  <w:style w:type="paragraph" w:customStyle="1" w:styleId="Table">
    <w:name w:val="Table"/>
    <w:basedOn w:val="Normal"/>
    <w:link w:val="TableChar"/>
    <w:qFormat/>
    <w:rsid w:val="00165946"/>
    <w:pPr>
      <w:spacing w:after="60" w:line="240" w:lineRule="auto"/>
    </w:pPr>
    <w:rPr>
      <w:rFonts w:eastAsia="Times New Roman"/>
      <w:sz w:val="18"/>
    </w:rPr>
  </w:style>
  <w:style w:type="paragraph" w:customStyle="1" w:styleId="Tablebold">
    <w:name w:val="Table bold"/>
    <w:basedOn w:val="Table"/>
    <w:link w:val="TableboldChar"/>
    <w:qFormat/>
    <w:rsid w:val="00165946"/>
    <w:rPr>
      <w:b/>
    </w:rPr>
  </w:style>
  <w:style w:type="character" w:customStyle="1" w:styleId="TableChar">
    <w:name w:val="Table Char"/>
    <w:link w:val="Table"/>
    <w:locked/>
    <w:rsid w:val="00165946"/>
    <w:rPr>
      <w:rFonts w:eastAsia="Times New Roman"/>
      <w:sz w:val="18"/>
      <w:szCs w:val="22"/>
      <w:lang w:eastAsia="en-US"/>
    </w:rPr>
  </w:style>
  <w:style w:type="character" w:customStyle="1" w:styleId="TableboldChar">
    <w:name w:val="Table bold Char"/>
    <w:link w:val="Tablebold"/>
    <w:locked/>
    <w:rsid w:val="00165946"/>
    <w:rPr>
      <w:rFonts w:eastAsia="Times New Roman"/>
      <w:b/>
      <w:sz w:val="18"/>
      <w:szCs w:val="22"/>
      <w:lang w:eastAsia="en-US"/>
    </w:rPr>
  </w:style>
  <w:style w:type="paragraph" w:customStyle="1" w:styleId="Tabletxtbold">
    <w:name w:val="Table txt bold"/>
    <w:basedOn w:val="Table"/>
    <w:link w:val="TabletxtboldChar"/>
    <w:qFormat/>
    <w:rsid w:val="00165946"/>
    <w:pPr>
      <w:numPr>
        <w:numId w:val="1"/>
      </w:numPr>
    </w:pPr>
    <w:rPr>
      <w:b/>
      <w:color w:val="808080"/>
    </w:rPr>
  </w:style>
  <w:style w:type="character" w:customStyle="1" w:styleId="TabletxtboldChar">
    <w:name w:val="Table txt bold Char"/>
    <w:link w:val="Tabletxtbold"/>
    <w:locked/>
    <w:rsid w:val="00165946"/>
    <w:rPr>
      <w:rFonts w:eastAsia="Times New Roman"/>
      <w:b/>
      <w:color w:val="808080"/>
      <w:sz w:val="18"/>
      <w:szCs w:val="22"/>
      <w:lang w:eastAsia="en-US"/>
    </w:rPr>
  </w:style>
  <w:style w:type="table" w:styleId="MediumShading1-Accent1">
    <w:name w:val="Medium Shading 1 Accent 1"/>
    <w:basedOn w:val="TableNormal"/>
    <w:uiPriority w:val="63"/>
    <w:rsid w:val="00E97EB5"/>
    <w:pPr>
      <w:ind w:left="1134" w:hanging="414"/>
      <w:jc w:val="both"/>
    </w:pPr>
    <w:rPr>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oSpacingChar">
    <w:name w:val="No Spacing Char"/>
    <w:link w:val="NoSpacing"/>
    <w:uiPriority w:val="1"/>
    <w:rsid w:val="00F129B9"/>
    <w:rPr>
      <w:sz w:val="22"/>
      <w:szCs w:val="22"/>
      <w:lang w:val="en-GB" w:eastAsia="en-US" w:bidi="ar-SA"/>
    </w:rPr>
  </w:style>
  <w:style w:type="table" w:styleId="LightShading-Accent1">
    <w:name w:val="Light Shading Accent 1"/>
    <w:basedOn w:val="TableNormal"/>
    <w:uiPriority w:val="60"/>
    <w:rsid w:val="00705A68"/>
    <w:rPr>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1">
    <w:name w:val="Light List Accent 1"/>
    <w:basedOn w:val="TableNormal"/>
    <w:uiPriority w:val="61"/>
    <w:rsid w:val="00705A68"/>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llowedHyperlink">
    <w:name w:val="FollowedHyperlink"/>
    <w:basedOn w:val="DefaultParagraphFont"/>
    <w:uiPriority w:val="99"/>
    <w:semiHidden/>
    <w:unhideWhenUsed/>
    <w:rsid w:val="00FB078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80A"/>
    <w:pPr>
      <w:spacing w:after="200" w:line="276" w:lineRule="auto"/>
    </w:pPr>
    <w:rPr>
      <w:sz w:val="22"/>
      <w:szCs w:val="22"/>
      <w:lang w:val="en-GB"/>
    </w:rPr>
  </w:style>
  <w:style w:type="paragraph" w:styleId="Heading1">
    <w:name w:val="heading 1"/>
    <w:basedOn w:val="Normal"/>
    <w:next w:val="Normal"/>
    <w:link w:val="Heading1Char"/>
    <w:uiPriority w:val="9"/>
    <w:qFormat/>
    <w:rsid w:val="00202188"/>
    <w:pPr>
      <w:keepNext/>
      <w:keepLines/>
      <w:spacing w:before="480" w:after="0"/>
      <w:outlineLvl w:val="0"/>
    </w:pPr>
    <w:rPr>
      <w:rFonts w:ascii="Cambria" w:eastAsia="Times New Roman" w:hAnsi="Cambria"/>
      <w:b/>
      <w:bCs/>
      <w:color w:val="365F91"/>
      <w:sz w:val="28"/>
      <w:szCs w:val="28"/>
      <w:lang w:eastAsia="x-none"/>
    </w:rPr>
  </w:style>
  <w:style w:type="paragraph" w:styleId="Heading3">
    <w:name w:val="heading 3"/>
    <w:basedOn w:val="Normal"/>
    <w:next w:val="Normal"/>
    <w:link w:val="Heading3Char"/>
    <w:qFormat/>
    <w:rsid w:val="001336A5"/>
    <w:pPr>
      <w:keepNext/>
      <w:spacing w:before="240" w:after="60" w:line="240" w:lineRule="auto"/>
      <w:outlineLvl w:val="2"/>
    </w:pPr>
    <w:rPr>
      <w:rFonts w:ascii="Arial" w:eastAsia="SimSun" w:hAnsi="Arial"/>
      <w:b/>
      <w:bCs/>
      <w:sz w:val="26"/>
      <w:szCs w:val="26"/>
      <w:lang w:val="nb-NO" w:eastAsia="nb-N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652"/>
    <w:pPr>
      <w:spacing w:after="0" w:line="240" w:lineRule="auto"/>
      <w:ind w:left="720"/>
    </w:pPr>
    <w:rPr>
      <w:lang w:val="en-US"/>
    </w:rPr>
  </w:style>
  <w:style w:type="table" w:styleId="TableGrid">
    <w:name w:val="Table Grid"/>
    <w:basedOn w:val="TableNormal"/>
    <w:uiPriority w:val="59"/>
    <w:rsid w:val="00F756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uiPriority w:val="9"/>
    <w:rsid w:val="00202188"/>
    <w:rPr>
      <w:rFonts w:ascii="Cambria" w:eastAsia="Times New Roman" w:hAnsi="Cambria" w:cs="Times New Roman"/>
      <w:b/>
      <w:bCs/>
      <w:color w:val="365F91"/>
      <w:sz w:val="28"/>
      <w:szCs w:val="28"/>
      <w:lang w:val="en-GB"/>
    </w:rPr>
  </w:style>
  <w:style w:type="paragraph" w:styleId="NoSpacing">
    <w:name w:val="No Spacing"/>
    <w:link w:val="NoSpacingChar"/>
    <w:uiPriority w:val="1"/>
    <w:qFormat/>
    <w:rsid w:val="00202188"/>
    <w:rPr>
      <w:sz w:val="22"/>
      <w:szCs w:val="22"/>
      <w:lang w:val="en-GB"/>
    </w:rPr>
  </w:style>
  <w:style w:type="paragraph" w:styleId="Header">
    <w:name w:val="header"/>
    <w:basedOn w:val="Normal"/>
    <w:link w:val="HeaderChar"/>
    <w:uiPriority w:val="99"/>
    <w:unhideWhenUsed/>
    <w:rsid w:val="005807F1"/>
    <w:pPr>
      <w:tabs>
        <w:tab w:val="center" w:pos="4680"/>
        <w:tab w:val="right" w:pos="9360"/>
      </w:tabs>
      <w:spacing w:after="0" w:line="240" w:lineRule="auto"/>
    </w:pPr>
    <w:rPr>
      <w:sz w:val="20"/>
      <w:szCs w:val="20"/>
      <w:lang w:eastAsia="x-none"/>
    </w:rPr>
  </w:style>
  <w:style w:type="character" w:customStyle="1" w:styleId="HeaderChar">
    <w:name w:val="Header Char"/>
    <w:link w:val="Header"/>
    <w:uiPriority w:val="99"/>
    <w:rsid w:val="005807F1"/>
    <w:rPr>
      <w:lang w:val="en-GB"/>
    </w:rPr>
  </w:style>
  <w:style w:type="paragraph" w:styleId="Footer">
    <w:name w:val="footer"/>
    <w:basedOn w:val="Normal"/>
    <w:link w:val="FooterChar"/>
    <w:uiPriority w:val="99"/>
    <w:unhideWhenUsed/>
    <w:rsid w:val="005807F1"/>
    <w:pPr>
      <w:tabs>
        <w:tab w:val="center" w:pos="4680"/>
        <w:tab w:val="right" w:pos="9360"/>
      </w:tabs>
      <w:spacing w:after="0" w:line="240" w:lineRule="auto"/>
    </w:pPr>
    <w:rPr>
      <w:sz w:val="20"/>
      <w:szCs w:val="20"/>
      <w:lang w:eastAsia="x-none"/>
    </w:rPr>
  </w:style>
  <w:style w:type="character" w:customStyle="1" w:styleId="FooterChar">
    <w:name w:val="Footer Char"/>
    <w:link w:val="Footer"/>
    <w:uiPriority w:val="99"/>
    <w:rsid w:val="005807F1"/>
    <w:rPr>
      <w:lang w:val="en-GB"/>
    </w:rPr>
  </w:style>
  <w:style w:type="paragraph" w:styleId="BalloonText">
    <w:name w:val="Balloon Text"/>
    <w:basedOn w:val="Normal"/>
    <w:link w:val="BalloonTextChar"/>
    <w:uiPriority w:val="99"/>
    <w:semiHidden/>
    <w:unhideWhenUsed/>
    <w:rsid w:val="005807F1"/>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5807F1"/>
    <w:rPr>
      <w:rFonts w:ascii="Tahoma" w:hAnsi="Tahoma" w:cs="Tahoma"/>
      <w:sz w:val="16"/>
      <w:szCs w:val="16"/>
      <w:lang w:val="en-GB"/>
    </w:rPr>
  </w:style>
  <w:style w:type="character" w:styleId="CommentReference">
    <w:name w:val="annotation reference"/>
    <w:uiPriority w:val="99"/>
    <w:semiHidden/>
    <w:unhideWhenUsed/>
    <w:rsid w:val="00381DDE"/>
    <w:rPr>
      <w:sz w:val="16"/>
      <w:szCs w:val="16"/>
    </w:rPr>
  </w:style>
  <w:style w:type="paragraph" w:styleId="CommentText">
    <w:name w:val="annotation text"/>
    <w:basedOn w:val="Normal"/>
    <w:link w:val="CommentTextChar"/>
    <w:uiPriority w:val="99"/>
    <w:semiHidden/>
    <w:unhideWhenUsed/>
    <w:rsid w:val="00381DDE"/>
    <w:rPr>
      <w:sz w:val="20"/>
      <w:szCs w:val="20"/>
      <w:lang w:eastAsia="x-none"/>
    </w:rPr>
  </w:style>
  <w:style w:type="character" w:customStyle="1" w:styleId="CommentTextChar">
    <w:name w:val="Comment Text Char"/>
    <w:link w:val="CommentText"/>
    <w:uiPriority w:val="99"/>
    <w:semiHidden/>
    <w:rsid w:val="00381DDE"/>
    <w:rPr>
      <w:lang w:val="en-GB"/>
    </w:rPr>
  </w:style>
  <w:style w:type="paragraph" w:styleId="CommentSubject">
    <w:name w:val="annotation subject"/>
    <w:basedOn w:val="CommentText"/>
    <w:next w:val="CommentText"/>
    <w:link w:val="CommentSubjectChar"/>
    <w:uiPriority w:val="99"/>
    <w:semiHidden/>
    <w:unhideWhenUsed/>
    <w:rsid w:val="00381DDE"/>
    <w:rPr>
      <w:b/>
      <w:bCs/>
    </w:rPr>
  </w:style>
  <w:style w:type="character" w:customStyle="1" w:styleId="CommentSubjectChar">
    <w:name w:val="Comment Subject Char"/>
    <w:link w:val="CommentSubject"/>
    <w:uiPriority w:val="99"/>
    <w:semiHidden/>
    <w:rsid w:val="00381DDE"/>
    <w:rPr>
      <w:b/>
      <w:bCs/>
      <w:lang w:val="en-GB"/>
    </w:rPr>
  </w:style>
  <w:style w:type="character" w:customStyle="1" w:styleId="Heading3Char">
    <w:name w:val="Heading 3 Char"/>
    <w:link w:val="Heading3"/>
    <w:rsid w:val="001336A5"/>
    <w:rPr>
      <w:rFonts w:ascii="Arial" w:eastAsia="SimSun" w:hAnsi="Arial" w:cs="Arial"/>
      <w:b/>
      <w:bCs/>
      <w:sz w:val="26"/>
      <w:szCs w:val="26"/>
      <w:lang w:val="nb-NO" w:eastAsia="nb-NO"/>
    </w:rPr>
  </w:style>
  <w:style w:type="character" w:styleId="Hyperlink">
    <w:name w:val="Hyperlink"/>
    <w:rsid w:val="001336A5"/>
    <w:rPr>
      <w:color w:val="0000FF"/>
      <w:u w:val="single"/>
    </w:rPr>
  </w:style>
  <w:style w:type="character" w:customStyle="1" w:styleId="stevenmc">
    <w:name w:val="stevenmc"/>
    <w:semiHidden/>
    <w:rsid w:val="00912A42"/>
    <w:rPr>
      <w:rFonts w:ascii="Verdana" w:hAnsi="Verdana"/>
      <w:b w:val="0"/>
      <w:bCs w:val="0"/>
      <w:i w:val="0"/>
      <w:iCs w:val="0"/>
      <w:strike w:val="0"/>
      <w:color w:val="0000FF"/>
      <w:sz w:val="20"/>
      <w:szCs w:val="20"/>
      <w:u w:val="none"/>
    </w:rPr>
  </w:style>
  <w:style w:type="paragraph" w:customStyle="1" w:styleId="Default">
    <w:name w:val="Default"/>
    <w:rsid w:val="00912A42"/>
    <w:pPr>
      <w:autoSpaceDE w:val="0"/>
      <w:autoSpaceDN w:val="0"/>
      <w:adjustRightInd w:val="0"/>
    </w:pPr>
    <w:rPr>
      <w:rFonts w:ascii="Times New Roman" w:eastAsia="Times New Roman" w:hAnsi="Times New Roman"/>
      <w:color w:val="000000"/>
      <w:sz w:val="24"/>
      <w:szCs w:val="24"/>
      <w:lang w:val="fr-FR" w:eastAsia="fr-FR"/>
    </w:rPr>
  </w:style>
  <w:style w:type="paragraph" w:customStyle="1" w:styleId="Table">
    <w:name w:val="Table"/>
    <w:basedOn w:val="Normal"/>
    <w:link w:val="TableChar"/>
    <w:qFormat/>
    <w:rsid w:val="00165946"/>
    <w:pPr>
      <w:spacing w:after="60" w:line="240" w:lineRule="auto"/>
    </w:pPr>
    <w:rPr>
      <w:rFonts w:eastAsia="Times New Roman"/>
      <w:sz w:val="18"/>
      <w:lang w:val="x-none"/>
    </w:rPr>
  </w:style>
  <w:style w:type="paragraph" w:customStyle="1" w:styleId="Tablebold">
    <w:name w:val="Table bold"/>
    <w:basedOn w:val="Table"/>
    <w:link w:val="TableboldChar"/>
    <w:qFormat/>
    <w:rsid w:val="00165946"/>
    <w:rPr>
      <w:b/>
    </w:rPr>
  </w:style>
  <w:style w:type="character" w:customStyle="1" w:styleId="TableChar">
    <w:name w:val="Table Char"/>
    <w:link w:val="Table"/>
    <w:locked/>
    <w:rsid w:val="00165946"/>
    <w:rPr>
      <w:rFonts w:eastAsia="Times New Roman"/>
      <w:sz w:val="18"/>
      <w:szCs w:val="22"/>
      <w:lang w:eastAsia="en-US"/>
    </w:rPr>
  </w:style>
  <w:style w:type="character" w:customStyle="1" w:styleId="TableboldChar">
    <w:name w:val="Table bold Char"/>
    <w:link w:val="Tablebold"/>
    <w:locked/>
    <w:rsid w:val="00165946"/>
    <w:rPr>
      <w:rFonts w:eastAsia="Times New Roman"/>
      <w:b/>
      <w:sz w:val="18"/>
      <w:szCs w:val="22"/>
      <w:lang w:eastAsia="en-US"/>
    </w:rPr>
  </w:style>
  <w:style w:type="paragraph" w:customStyle="1" w:styleId="Tabletxtbold">
    <w:name w:val="Table txt bold"/>
    <w:basedOn w:val="Table"/>
    <w:link w:val="TabletxtboldChar"/>
    <w:qFormat/>
    <w:rsid w:val="00165946"/>
    <w:pPr>
      <w:numPr>
        <w:numId w:val="1"/>
      </w:numPr>
    </w:pPr>
    <w:rPr>
      <w:b/>
      <w:color w:val="808080"/>
    </w:rPr>
  </w:style>
  <w:style w:type="character" w:customStyle="1" w:styleId="TabletxtboldChar">
    <w:name w:val="Table txt bold Char"/>
    <w:link w:val="Tabletxtbold"/>
    <w:locked/>
    <w:rsid w:val="00165946"/>
    <w:rPr>
      <w:rFonts w:eastAsia="Times New Roman"/>
      <w:b/>
      <w:color w:val="808080"/>
      <w:sz w:val="18"/>
      <w:szCs w:val="22"/>
      <w:lang w:eastAsia="en-US"/>
    </w:rPr>
  </w:style>
  <w:style w:type="table" w:styleId="MediumShading1-Accent1">
    <w:name w:val="Medium Shading 1 Accent 1"/>
    <w:basedOn w:val="TableNormal"/>
    <w:uiPriority w:val="63"/>
    <w:rsid w:val="00E97EB5"/>
    <w:pPr>
      <w:ind w:left="1134" w:hanging="414"/>
      <w:jc w:val="both"/>
    </w:pPr>
    <w:rPr>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oSpacingChar">
    <w:name w:val="No Spacing Char"/>
    <w:link w:val="NoSpacing"/>
    <w:uiPriority w:val="1"/>
    <w:rsid w:val="00F129B9"/>
    <w:rPr>
      <w:sz w:val="22"/>
      <w:szCs w:val="22"/>
      <w:lang w:val="en-GB" w:eastAsia="en-US" w:bidi="ar-SA"/>
    </w:rPr>
  </w:style>
  <w:style w:type="table" w:styleId="LightShading-Accent1">
    <w:name w:val="Light Shading Accent 1"/>
    <w:basedOn w:val="TableNormal"/>
    <w:uiPriority w:val="60"/>
    <w:rsid w:val="00705A68"/>
    <w:rPr>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1">
    <w:name w:val="Light List Accent 1"/>
    <w:basedOn w:val="TableNormal"/>
    <w:uiPriority w:val="61"/>
    <w:rsid w:val="00705A68"/>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llowedHyperlink">
    <w:name w:val="FollowedHyperlink"/>
    <w:basedOn w:val="DefaultParagraphFont"/>
    <w:uiPriority w:val="99"/>
    <w:semiHidden/>
    <w:unhideWhenUsed/>
    <w:rsid w:val="00FB078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783828">
      <w:bodyDiv w:val="1"/>
      <w:marLeft w:val="0"/>
      <w:marRight w:val="0"/>
      <w:marTop w:val="0"/>
      <w:marBottom w:val="0"/>
      <w:divBdr>
        <w:top w:val="none" w:sz="0" w:space="0" w:color="auto"/>
        <w:left w:val="none" w:sz="0" w:space="0" w:color="auto"/>
        <w:bottom w:val="none" w:sz="0" w:space="0" w:color="auto"/>
        <w:right w:val="none" w:sz="0" w:space="0" w:color="auto"/>
      </w:divBdr>
    </w:div>
    <w:div w:id="133640552">
      <w:bodyDiv w:val="1"/>
      <w:marLeft w:val="0"/>
      <w:marRight w:val="0"/>
      <w:marTop w:val="0"/>
      <w:marBottom w:val="0"/>
      <w:divBdr>
        <w:top w:val="none" w:sz="0" w:space="0" w:color="auto"/>
        <w:left w:val="none" w:sz="0" w:space="0" w:color="auto"/>
        <w:bottom w:val="none" w:sz="0" w:space="0" w:color="auto"/>
        <w:right w:val="none" w:sz="0" w:space="0" w:color="auto"/>
      </w:divBdr>
    </w:div>
    <w:div w:id="246771169">
      <w:bodyDiv w:val="1"/>
      <w:marLeft w:val="0"/>
      <w:marRight w:val="0"/>
      <w:marTop w:val="0"/>
      <w:marBottom w:val="0"/>
      <w:divBdr>
        <w:top w:val="none" w:sz="0" w:space="0" w:color="auto"/>
        <w:left w:val="none" w:sz="0" w:space="0" w:color="auto"/>
        <w:bottom w:val="none" w:sz="0" w:space="0" w:color="auto"/>
        <w:right w:val="none" w:sz="0" w:space="0" w:color="auto"/>
      </w:divBdr>
    </w:div>
    <w:div w:id="344749698">
      <w:bodyDiv w:val="1"/>
      <w:marLeft w:val="0"/>
      <w:marRight w:val="0"/>
      <w:marTop w:val="0"/>
      <w:marBottom w:val="0"/>
      <w:divBdr>
        <w:top w:val="none" w:sz="0" w:space="0" w:color="auto"/>
        <w:left w:val="none" w:sz="0" w:space="0" w:color="auto"/>
        <w:bottom w:val="none" w:sz="0" w:space="0" w:color="auto"/>
        <w:right w:val="none" w:sz="0" w:space="0" w:color="auto"/>
      </w:divBdr>
    </w:div>
    <w:div w:id="1369258181">
      <w:bodyDiv w:val="1"/>
      <w:marLeft w:val="0"/>
      <w:marRight w:val="0"/>
      <w:marTop w:val="0"/>
      <w:marBottom w:val="0"/>
      <w:divBdr>
        <w:top w:val="none" w:sz="0" w:space="0" w:color="auto"/>
        <w:left w:val="none" w:sz="0" w:space="0" w:color="auto"/>
        <w:bottom w:val="none" w:sz="0" w:space="0" w:color="auto"/>
        <w:right w:val="none" w:sz="0" w:space="0" w:color="auto"/>
      </w:divBdr>
    </w:div>
    <w:div w:id="1435172923">
      <w:bodyDiv w:val="1"/>
      <w:marLeft w:val="0"/>
      <w:marRight w:val="0"/>
      <w:marTop w:val="0"/>
      <w:marBottom w:val="0"/>
      <w:divBdr>
        <w:top w:val="none" w:sz="0" w:space="0" w:color="auto"/>
        <w:left w:val="none" w:sz="0" w:space="0" w:color="auto"/>
        <w:bottom w:val="none" w:sz="0" w:space="0" w:color="auto"/>
        <w:right w:val="none" w:sz="0" w:space="0" w:color="auto"/>
      </w:divBdr>
    </w:div>
    <w:div w:id="1506436255">
      <w:bodyDiv w:val="1"/>
      <w:marLeft w:val="0"/>
      <w:marRight w:val="0"/>
      <w:marTop w:val="0"/>
      <w:marBottom w:val="0"/>
      <w:divBdr>
        <w:top w:val="none" w:sz="0" w:space="0" w:color="auto"/>
        <w:left w:val="none" w:sz="0" w:space="0" w:color="auto"/>
        <w:bottom w:val="none" w:sz="0" w:space="0" w:color="auto"/>
        <w:right w:val="none" w:sz="0" w:space="0" w:color="auto"/>
      </w:divBdr>
    </w:div>
    <w:div w:id="1957986298">
      <w:bodyDiv w:val="1"/>
      <w:marLeft w:val="0"/>
      <w:marRight w:val="0"/>
      <w:marTop w:val="0"/>
      <w:marBottom w:val="0"/>
      <w:divBdr>
        <w:top w:val="none" w:sz="0" w:space="0" w:color="auto"/>
        <w:left w:val="none" w:sz="0" w:space="0" w:color="auto"/>
        <w:bottom w:val="none" w:sz="0" w:space="0" w:color="auto"/>
        <w:right w:val="none" w:sz="0" w:space="0" w:color="auto"/>
      </w:divBdr>
    </w:div>
    <w:div w:id="214141189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training.cochrane.org/consumer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B7DAC-ACED-4D1D-8D8C-6F8F8642B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3376</Words>
  <Characters>19246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Cochrane Collaboration Secretariat</Company>
  <LinksUpToDate>false</LinksUpToDate>
  <CharactersWithSpaces>22577</CharactersWithSpaces>
  <SharedDoc>false</SharedDoc>
  <HLinks>
    <vt:vector size="6" baseType="variant">
      <vt:variant>
        <vt:i4>7667824</vt:i4>
      </vt:variant>
      <vt:variant>
        <vt:i4>0</vt:i4>
      </vt:variant>
      <vt:variant>
        <vt:i4>0</vt:i4>
      </vt:variant>
      <vt:variant>
        <vt:i4>5</vt:i4>
      </vt:variant>
      <vt:variant>
        <vt:lpwstr>http://training.cochrane.org/consumers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McDonald</dc:creator>
  <cp:lastModifiedBy>Jini Hetherington</cp:lastModifiedBy>
  <cp:revision>4</cp:revision>
  <cp:lastPrinted>2012-09-13T04:59:00Z</cp:lastPrinted>
  <dcterms:created xsi:type="dcterms:W3CDTF">2012-09-13T10:01:00Z</dcterms:created>
  <dcterms:modified xsi:type="dcterms:W3CDTF">2012-09-18T13:27:00Z</dcterms:modified>
</cp:coreProperties>
</file>